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B" w:rsidRPr="00EC7F6B" w:rsidRDefault="00EC7F6B" w:rsidP="00EC7F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bookmark0"/>
      <w:r w:rsidRPr="00EC7F6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РАЗЪЯСНЕНИЯ</w:t>
      </w:r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по вопросам применения требований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 антитеррористической защищенности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мест массового пребывания людей, утвержд</w:t>
      </w:r>
      <w:r w:rsidR="0017057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нных постановлением Правительства Российской Федерации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от 25 марта 2015 года</w:t>
      </w:r>
      <w:r w:rsidRPr="00EC7F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 272</w:t>
      </w:r>
    </w:p>
    <w:p w:rsidR="00EC7F6B" w:rsidRPr="00EC7F6B" w:rsidRDefault="00EC7F6B" w:rsidP="00EC7F6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bookmarkStart w:id="1" w:name="bookmark1"/>
    </w:p>
    <w:p w:rsidR="00EC7F6B" w:rsidRPr="00EC7F6B" w:rsidRDefault="00EC7F6B" w:rsidP="00EC7F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Введение</w:t>
      </w:r>
      <w:bookmarkEnd w:id="1"/>
    </w:p>
    <w:p w:rsidR="00EC7F6B" w:rsidRPr="00EC7F6B" w:rsidRDefault="00EC7F6B" w:rsidP="00EC7F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Настоящие разъяснения разработаны в целях реализации пункта 2 постановления Правительства Российской Федерации от 25 марта 2015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(далее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Постановление, Требования) и предназначены для применения в практической деятельности территориальных органов МВД России и МЧС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России, территориальных органов безопасности, органов государственной власти субъектов Российской Федерации, органов местного самоуправления, иных заинтересованных органов и организаций, а также граждан при организации и проведении работ в области обеспечения антитеррористической защищенности мест массового пребывания людей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ММПЛ).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 основным нормативным правовым актам, регламентирующим вопросы антитеррористической защищенности ММПЛ, относятся: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Федеральный закон от 27 декабря 2002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184-ФЗ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техническом регулировании»;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Федеральный закон от 6 октября 2003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Федеральный закон от 6 марта 2006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35-Ф3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противодействии терроризму»;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Федеральный закон от 30 декабря 2009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384-Ф3 «Технический регламент о безопасности зданий и сооружений»;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 Президента Российской Федерации от 15 февраля 2006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№ 116 «О мерах по противодействию терроризму»;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EC7F6B" w:rsidRPr="00EC7F6B" w:rsidSect="00EC7F6B">
          <w:headerReference w:type="default" r:id="rId9"/>
          <w:pgSz w:w="11905" w:h="16837"/>
          <w:pgMar w:top="1134" w:right="567" w:bottom="1134" w:left="1701" w:header="680" w:footer="680" w:gutter="0"/>
          <w:cols w:space="720"/>
          <w:noEndnote/>
          <w:docGrid w:linePitch="360"/>
        </w:sect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 Президента Российской Федерации от 14 июня 2012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Концепция противодействия терроризму в Российской Федерации (утверждена Президентом Российской Федерации 5 октября 2009 года);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15 февраля 2011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73 «О некоторых мерах по совершенствованию подготовки проектной документации в части противодействия террористическим актам»;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декабря 2013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1244 «Об антитеррористической защищенности объектов (территорий)»;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марта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:rsidR="00EC7F6B" w:rsidRPr="00EC7F6B" w:rsidRDefault="00EC7F6B" w:rsidP="00EC7F6B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5 июля 2011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320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«Об утверждении свода правил «Обеспечение антитеррористической защищенности зданий и сооружений.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требования проектирования» (вместе с «СП 132.13330.2011.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Свод правил. Обеспечение антитеррористической защищенности зданий и сооружений.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требования проектирования»).</w:t>
      </w:r>
      <w:proofErr w:type="gramEnd"/>
    </w:p>
    <w:p w:rsid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Иные документы, которыми следует руководствоваться при осуществлении мероприятий, предусмотренных Требованиями, указаны в соответствующих разделах разъяснений.</w:t>
      </w:r>
    </w:p>
    <w:p w:rsidR="00EC7F6B" w:rsidRPr="00EC7F6B" w:rsidRDefault="00EC7F6B" w:rsidP="00EC7F6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bookmark2"/>
      <w:r w:rsidRPr="00EC7F6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2"/>
    </w:p>
    <w:p w:rsidR="00EC7F6B" w:rsidRDefault="00EC7F6B" w:rsidP="00EC7F6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Основные критерии по определению перечня ММПЛ (далее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Перечень) содержатся в пункте 6 статьи 3 Федерального закона «О противодействии терроризму», согласно которому под ММПЛ понимается территория общего пользования поселения или городского округа, либо специально отвед</w:t>
      </w:r>
      <w:r w:rsidR="0018458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территория иных муниципальных образований, сформированных в соответствии с Федеральным законом «Об общих принципах организации местного самоуправления в Российской Федерации» (муниципальный район, городской округ с внутригородским делением, внутригородской район, внутригородская территория города федерального значения), в названном пункте не указана.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Учитывая, что в данном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понятии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используется словосочетание «при определенных условиях», не каждое общественное место или место общего пользования, площадь которого позволяет разместить более 50 человек, может включаться в перечень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нормативных правовых актах содержание формулировки «определенные условия» не раскрывается. К данным условиям могут быть отнесены, например, время суток и (или) года, выходной или праздничный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день, торжественное мероприятие и иные условия, при соблюдении которых на территории (в месте) возможно нахождение людей числом более 50.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этом данные условия важны также для определения требований, которыми следует руководствоваться при осуществлении антитеррористической защищенности. Например, если в лесопарковой зоне еженедельно проходят массовые оздоровительные пробежки граждан, данное место следует включать в Перечень со всеми вытекающими последствиями. Если же там несколько раз в год проводятся какие-либо культурно-зрелищные мероприятия, то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вопросах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его антитеррористической защищенности рекомендуется руководствоваться положениями иных нормативных правовых актов.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Перечень не включаются также территории (места), на которых при определенных условиях может одновременно находиться более пятидесяти человек, но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правообладателями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которых являются федеральные органы исполнительной власти и Государственная корпорация по атомной энергии «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Росатом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или которые относятся к сфере их деятельности, предполагающей использование территории (места), подлежащего антитеррористической защите (например, школы, поликлиники, больницы, дошкольные детские учреждения, объекты спорта, театры, концертные залы), а также объекты (территории) подлежащие обязательной охране полицией.</w:t>
      </w:r>
    </w:p>
    <w:p w:rsidR="00EC7F6B" w:rsidRPr="00816169" w:rsidRDefault="00EC7F6B" w:rsidP="00816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таких территорий (мест) действуют положения иных нормативных правовых актов.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Например, в соответствии с пунктом 4 части 2 статьи 5 Федерального закона «О противодействии терроризму», утверждены требования к антитеррористической защищенности объектов (территорий) ракетно-космической промышленности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 Федеральной миграционной службы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 спорта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 таможенных органов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 Федеральной службы по надзору в сфере защиты прав потребителей и благополучия человека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5"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уголовно-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исполнительной системы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Министерства связи и массовых ко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ммуникаций Российской Федерации,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Федеральной службы по надзору в сфере связи, информационных тех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нологий и массовых коммуникаций, Федерального агентства связи,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Федерального агентства по печати и массовым коммуникациям, а также подведомственных им организаций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; Федеральной службы по техническому и экспортному контролю, е</w:t>
      </w:r>
      <w:r w:rsidR="0018458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территориальных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органов и подведомственных организаций</w:t>
      </w:r>
      <w:r w:rsidR="00A57383"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военных объектов Вооруженных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сил Российской Федерации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объектов (территорий) Министерства юстиции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(территорий) Государственной корпорации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 атомной энергии «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Росатом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(территорий) Федерального</w:t>
      </w:r>
      <w:r w:rsid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агентства специального строительства</w:t>
      </w:r>
      <w:r w:rsidR="00A57383"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(территорий) промышленности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(территорий) Федеральной службы Российской Федерации по контролю за оборотом наркотиков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="00A57383" w:rsidRPr="00A5738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(территорий) органов федеральной фельдъегерской связи и формы паспорта безопасности этих объектов (территорий)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</w:p>
    <w:p w:rsidR="00816169" w:rsidRPr="001C5A1C" w:rsidRDefault="00816169" w:rsidP="008161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16169" w:rsidRPr="00816169" w:rsidRDefault="00816169" w:rsidP="00816169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3" w:name="bookmark3"/>
      <w:r w:rsidRPr="0081616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Формирование и согласование Перечня</w:t>
      </w:r>
      <w:bookmarkEnd w:id="3"/>
    </w:p>
    <w:p w:rsidR="00816169" w:rsidRDefault="00816169" w:rsidP="008161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организационного характера при формировании и согласовании Перечней определяются руководителем исполнительного органа государственной власти субъекта Российской Федерации или органа местного самоуправления, на территории которого расположено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Так,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определено, какие ММПЛ включаются в Перечни, формируемые органами исполнительной власти субъектов Российской Федерации, а какие </w:t>
      </w:r>
      <w:r w:rsidR="00816169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Перечни, формируемые органами местного самоуправления.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исключения противоречий в Перечнях полагаем возможным органам исполнительной власти субъектов Российской Федерации включать в Перечень ММПЛ, которые относятся к сфере их деятельности.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Органам местного самоуправления рекомендуется проводить работу по формированию Перечней в отношении ММПЛ, расположенных на территории соответствующих муниципальных образований (за исключением ММПЛ, которые относятся к сфере деятельности соответствующих органов исполнительной власти субъектов Российской Федерации).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Названый подход к распределению полномочий закрепл</w:t>
      </w:r>
      <w:r w:rsidR="0081616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 в соответствующих распорядительных актах отдельных субъектов Российской Федерации, которые содержат необходимые поручения и рекомендации органам государственной власти субъектов Российской Федерации и местного самоуправления по формированию Перечней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согласовании Перечней участвуют территориальные органы безопасности, территориальные органы МВД России и МЧС России.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Поскольку территориальными органами МВД России являются подразделения (управления, отделы, отделения) органов внутренних дел Российской Федерации, сформированные, в том числе, для выполнения задач на конкретных территориях (город, район, иное муниципальное образование), согласование Перечня должно проводиться с соответствующим территориальным органом МВД России, на территории обслуживания которого расположено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соответствии со структурой органов федеральной службы безопасности, утвержденной Указом Президента Российской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Федерации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от 11 августа 2003 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960 «Вопросы Федеральной службы безопасности Российской Федерации», к территориальным органам безопасности относятся Управления (отделы) ФСБ России по отдельным регионам и субъектам Российской Федерации.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Учитывая, что Требованиями не определено дополнительных критериев, при согласовании Перечней следует руководствоваться пунктом 6 статьи 3 Федерального закона «О противодействии терроризму».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формирования и согласования Перечней также не установлен Требованиями и иными нормативными правовыми актами.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Перечни утверждаются, как правило, соответствующими актами органов исполнительной власти субъектов Российской Федерации или органов местного самоуправления.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Форма Перечней также определяется органами исполнительной власти субъектов Российской Федерации или органами местного самоуправления самостоятельно и может включать в себя наименование ММПЛ, его адрес и иную информацию.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Корректировка Перечней может осуществляться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безопасности, территориальными органами МВД России и МЧС России при наличии оснований для актуализации паспорта безопасности ММПЛ, в порядке, установленном для его формирования.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пунктом 3 Требований организационные мероприятия по обеспечению антитеррористической защищенности ММПЛ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образований, на которых расположены соответствующие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Указанное положение корреспондирует пункту 3 статьи 5 Федерального закона «О противодействии терроризму», согласно которому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 вопросов организации и осуществления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относится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средств бюджета субъекта Российской Федерации (за исключением субвенций из федерального бюджета) (подпункт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51.1 пункта 2 статьи 26.3 Федерального закона «Об общих принципах организации законодательных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(представительных) и исполнительных органов государственной власти субъектов Российской Федерации»).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профилактике терроризма и экстремизма на территории муниципального образования относится к вопросам местного значения (пункт 7.1 статьи 14, пункт 6.1 статьи 15 Федерального закона «Об общих принципах организации местного самоуправления в Российской Федерации»).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силу пункта 42 Концепции противодействия терроризму в Российской Федерации, утвержд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нной Президентом Российской Федерации 5 октября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2009 года,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дств св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оих бюджетов.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части 3.1 статьи 5 Федерального закона «О противодействии терроризму»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ином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законном основании. Юридические лица обеспечивают выполнение указанных требований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объектов, находящихся в их собственности или принадлежащих им на ином законном основании.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Обеспечению антитеррористической защищенности ММПЛ способствует также построение и развитие аппаратно-программного комплекса «Безопасный город» (например, посредством контроля в едином информационном пространстве в режиме реального времени обстановки, складывающейся в районах расположения ММПЛ), финансирование и ресурсное обеспечение которого осуществляется за сч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средств федерального бюджета, бюджетов субъектов Российской Федерации и местных бюджетов, а также внебюджетных источников.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Требования носят общий характер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вопросов оснащения ММПЛ средствами инженерной защиты и инженерно-техническими средствами охраны. Оснащение ММПЛ конкретными моделями средств охраны определяется в техническом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проектирование и на этапе выполнения строительно-монтажных работ, реконструкции и капитального ремонта.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Таким образом, при определении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требований к оснащению ММПЛ, целесообразно руководствоваться действующими правилами и стандартам, в том числе:</w:t>
      </w:r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53704-2009. Национальный стандарт Российской Федерации. Системы безопасности комплексные и интегрированные. Общие технические 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требования (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введ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 в действие приказом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Ростехрегулирования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15 декабря 2009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1140-ст);</w:t>
      </w:r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2.07.01-89*» (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28 декабря 2010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820);</w:t>
      </w:r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5 июля 2011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320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«Об утверждении свода правил «Обеспечение антитеррористической защищенности зданий и сооружений. 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требования проектирования» (вместе с «СП 132.13330.2011.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Свод правил. Обеспечение антитеррористической защищенности зданий и сооружений. 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требования проектирования»);</w:t>
      </w:r>
      <w:proofErr w:type="gramEnd"/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Федерации, утвержд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нные постановлением Правительства Российской Федерации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25 апреля 2012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390;</w:t>
      </w:r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31817.1.1-2012 </w:t>
      </w:r>
      <w:r w:rsidRPr="00F56BCD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56BCD">
        <w:rPr>
          <w:rFonts w:ascii="Times New Roman" w:eastAsia="Arial Unicode MS" w:hAnsi="Times New Roman" w:cs="Times New Roman"/>
          <w:sz w:val="28"/>
          <w:szCs w:val="28"/>
          <w:lang w:val="en-US"/>
        </w:rPr>
        <w:t>IEC</w:t>
      </w:r>
      <w:r w:rsidRPr="00F56BC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60839-1-1:1988). Межгосударственный стандарт. Системы тревожной сигнализации. Часть 1. Общие требования. Раздел 1. Общие положения (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введ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от 22 ноября 2012 года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1034-ст);</w:t>
      </w:r>
    </w:p>
    <w:p w:rsidR="00EC7F6B" w:rsidRPr="00F56BCD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Средства и системы контроля и управления доступом. Классификация. Общие технические требования. Методы испытаний. ГОСТ 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51241-2008 (утверждены приказом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Ростехрегулирования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17 декабря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2008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430-ст);</w:t>
      </w:r>
    </w:p>
    <w:p w:rsidR="00EC7F6B" w:rsidRDefault="00EC7F6B" w:rsidP="00F56BC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22 октября 2014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1371-ст 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 утверждении национального стандарта» (вводится в действие 1 января 2016 г</w:t>
      </w:r>
      <w:r w:rsid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взамен ГОСТ </w:t>
      </w:r>
      <w:proofErr w:type="gramStart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56B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51558-2008).</w:t>
      </w:r>
    </w:p>
    <w:p w:rsidR="00F56BCD" w:rsidRPr="00F56BCD" w:rsidRDefault="00F56BCD" w:rsidP="00F56BCD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6BCD" w:rsidRPr="00F56BCD" w:rsidRDefault="00F56BCD" w:rsidP="00F56BCD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4" w:name="bookmark4"/>
      <w:r w:rsidRPr="00F56B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Категорирование ММПЛ</w:t>
      </w:r>
      <w:bookmarkEnd w:id="4"/>
    </w:p>
    <w:p w:rsidR="00F56BCD" w:rsidRDefault="00F56BCD" w:rsidP="00F56B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 категорированием ММПЛ понимается его отнесение к определенной категории с уч</w:t>
      </w:r>
      <w:r w:rsidR="001317A0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степени угрозы совершения на н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 (абзац 1 пункта 6 Правил разработки требований к антитеррористической защищенности объектов (территорий) и паспорта безопасности объектов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далее 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Правила).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Целью категорирования является установление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дифференцированных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требований к обеспечению безопасности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Степень угрозы совершения террористического акта определяется на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данных о совершенных и предотвращенных террористических актах в субъекте Российской Федерации (муниципальном образовании), на территории которого расположено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Требованиях не содержится дополнительных критериев, позволяющих дифференцировать степень угрозы совершения террористического акта. Полагаем, что таким критерием может выступать количество совершенных на территории ММПЛ террористических актов (предпринятых попыток совершения) в течение последних 12 месяцев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Критериями для оценки социально-экономических последствий террористического акта является прогнозируемое количество пострадавших и погибших в результате террористического акта, а также прогнозируемый размер экономического ущерба.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оценки прогнозируемых масштабов террористических актов учитывать классификацию, установленную постановлением Правительства Российской Федерации от 21 мая 2007 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304 «О классификации чрезвычайных ситуаций природного и техногенного характера».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Поскольку степень угрозы совершения террористического акта, согласно пункту 10 Требований, не влияет на категорию ММПЛ, она учитывается при принятии решения о присвоении ММПЛ категории выше или ниже в зависимости 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складывающейся в районе расположения обстановки.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Межведомственная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комиссия по обследованию ММПЛ (далее 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комиссия) создается решением руководителя исполнительного органа государственной власти субъекта Российской Федерации (главы муниципального образования), на территории которого расположено ММПЛ, руководство деятельностью комиссии осуществляют названные должностные лица либо уполномоченные ими лица.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отдельных субъектов Российской Федерации в МВД России поступают обращения о целесообразности наделения полномочиями по созданию комиссий и руководству их деятельностью не глав муниципальных образований, а глав местных администраций.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Вместе с тем вопросы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определения полномочий руководителей исполнительных органов государственной власти субъектов Российской Федерации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глав муниципальных образований по созданию комиссий по обследованию ММПЛ и руководству их деятельностью не входят в компетенцию МВД России.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этом необходимо учитывать, что глава местной администрации может быть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надел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данными полномочиями в случае, если им является глава муниципального образования (часть 2 статьи 37 Федерального закона 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организации деятельности комиссий, не урегулированные Требованиями и иными нормативными правовыми актами (в том числе определение перечня документов по е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образованию и разработка типового положения), определяются органами государственной власти субъектов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Российской Федерации и органами местного самоуправления самостоятельно исходя из потребностей правоприменительной практики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Рекомендуется создавать комиссию как постоянно действующий координационный орган, который: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обследует и категорирует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ММПЛ;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составляет акты обследования и категорирования ММПЛ;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составляет паспорт безопасности ММПЛ и проводит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его актуализацию;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плановые и внеплановые проверки выполнения требований к антитеррористической защищенности ММПЛ;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вносит предложения правообладателю по совершенствованию мероприятий по обеспечению антитеррористической защищенности ММПЛ и устранению выявленных недостатков;</w:t>
      </w:r>
    </w:p>
    <w:p w:rsidR="00EC7F6B" w:rsidRPr="00EC7F6B" w:rsidRDefault="00EC7F6B" w:rsidP="00BF6A43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привлекает, при необходимости, к работе представителей собственников объектов, которые располагаются в границах ММПЛ либо в непосредственной близости к нему.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Комиссия, как правило, состоит из председателя, заместителя председателя, секретаря и членов комиссии.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состав комиссии включаются:</w:t>
      </w:r>
    </w:p>
    <w:p w:rsidR="00EC7F6B" w:rsidRPr="00BF6A43" w:rsidRDefault="00EC7F6B" w:rsidP="00BF6A43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правообладатели (собственники) ММПЛ или лица, использующие ММПЛ на </w:t>
      </w:r>
      <w:proofErr w:type="gramStart"/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ином</w:t>
      </w:r>
      <w:proofErr w:type="gramEnd"/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законном основании;</w:t>
      </w:r>
    </w:p>
    <w:p w:rsidR="00EC7F6B" w:rsidRPr="00BF6A43" w:rsidRDefault="00EC7F6B" w:rsidP="00BF6A43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представители территориального органа безопасности;</w:t>
      </w:r>
    </w:p>
    <w:p w:rsidR="00EC7F6B" w:rsidRPr="00BF6A43" w:rsidRDefault="00EC7F6B" w:rsidP="00BF6A43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представители территориального органа МВД России;</w:t>
      </w:r>
    </w:p>
    <w:p w:rsidR="00EC7F6B" w:rsidRPr="00BF6A43" w:rsidRDefault="00EC7F6B" w:rsidP="00BF6A43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представители территориального органа МЧС России;</w:t>
      </w:r>
    </w:p>
    <w:p w:rsidR="00EC7F6B" w:rsidRPr="00BF6A43" w:rsidRDefault="00EC7F6B" w:rsidP="00BF6A43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представители структурных </w:t>
      </w:r>
      <w:proofErr w:type="gramStart"/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подразделений органов государственной власти субъектов Российской Федерации</w:t>
      </w:r>
      <w:proofErr w:type="gramEnd"/>
      <w:r w:rsidRP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(или) муниципальных образований.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ММПЛ либо в непосредственной близости к нему.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Собственник ММПЛ или лицо, использующее ММПЛ на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ином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законном основании, привлекается в состав комиссии на период проведения обследования и категорирования конкретного ММПЛ. Представители территориального органа безопасности, территориальных органов МВД России и МЧС России могут привлекаться в состав комиссии на весь период е</w:t>
      </w:r>
      <w:r w:rsidR="00BF6A43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функционирования.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комиссии осуществляет руководство </w:t>
      </w:r>
      <w:r w:rsidR="007D7EEC"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7D7EEC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="007D7EEC"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деятельностью, определяет повестку дня, сроки и порядок рассмотрения вопросов на е</w:t>
      </w:r>
      <w:r w:rsidR="007D7EEC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заседаниях,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инициирует и проводит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заседаний комиссии, подписывает акты обследования и категорирования ММПЛ и другие документы, касающиеся исполнения полномочий комиссии.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Заместитель председателя комиссии в отсутствие председателя комиссии осуществляет его полномочия.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Секретарь комиссии вед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делопроизводство по вопросам осуществления деятельности, оформляет протоколы заседаний, результаты работы, обеспечивает сохранность документов, связанных с работой, организует взаимодействие с территориальными органами безопасности, МВД России и МЧС России при проведении обследований и составлении паспортов безопасности ММПЛ, контролирует своевременность их актуализации. Также рекомендуется закреплять за секретар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 комиссии полномочия по заполнению актов обследования и паспортов безопасности ММПЛ. Секретар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 комиссии целесообразно назначать представителя исполнительного органа государственной власти (муниципального образования) субъекта Российской Федерации, исходя из того, что возложенный на него объ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 работы в комиссии потребует освобождения от служебных обязанностей по основному месту работы (службы).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комиссии в соответствии с их компетенцией принимают участие в работе комиссии, выполняют поручения председателя комиссии или его заместителя в пределах компетенции органа (учреждения), который они представляют в составе комиссии.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формирования комиссий ММПЛ органам исполнительной власти субъектов Российской Федерации и органам местного самоуправления целесообразно направлять в территориальные органы безопасности, территориальные органы МВД России и МЧС России письма о выделении сотрудников для участия в работе создаваемой комиссии.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поступлении информации о формировании комиссии, руководителем территориального органа МВД России определяется кандидатура представителя для включения в состав комиссии, о которой информируется инициатор мероприятия.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состав комиссии рекомендуется включать наиболее подготовленных представителей территориальных органов МВД России, имеющих опыт проведения обследований различных объектов (территорий) на предмет состояния их антитеррористической защищенности.</w:t>
      </w:r>
    </w:p>
    <w:p w:rsidR="000D2979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Участие представителя территориального органа МВД России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категорировании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ММПЛ п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редусматривает следующие этапы:</w:t>
      </w:r>
    </w:p>
    <w:p w:rsidR="000D2979" w:rsidRDefault="00EC7F6B" w:rsidP="000D2979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 к участию в </w:t>
      </w:r>
      <w:proofErr w:type="gramStart"/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категорировании</w:t>
      </w:r>
      <w:proofErr w:type="gramEnd"/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D2979" w:rsidRDefault="00EC7F6B" w:rsidP="000D2979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в </w:t>
      </w:r>
      <w:proofErr w:type="gramStart"/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проведении</w:t>
      </w:r>
      <w:proofErr w:type="gramEnd"/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категорирования;</w:t>
      </w:r>
    </w:p>
    <w:p w:rsidR="000D2979" w:rsidRDefault="00EC7F6B" w:rsidP="000D2979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оформление результатов категорирования;</w:t>
      </w:r>
    </w:p>
    <w:p w:rsidR="00EC7F6B" w:rsidRPr="000D2979" w:rsidRDefault="00EC7F6B" w:rsidP="000D2979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информирование руководства территориального органа МВД России о результатах участия в категорировании.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подготовки к участию в категорировании целесообразно предварительно изучить информацию об ММПЛ, ознакомиться с составленными ранее актами комиссионных обследований (при их наличии), документами, подтверждающими устранение ранее выявленных недостатков.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Участие представителя территориального органа МВД России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категорирования осуществляется в рамках полномочий, обязанностей и прав, предусмотренных Федераль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ным законом от 7 февраля 2011 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-ФЗ «О полиции».</w:t>
      </w:r>
    </w:p>
    <w:p w:rsidR="00EC7F6B" w:rsidRPr="00EC7F6B" w:rsidRDefault="00EC7F6B" w:rsidP="000D2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проведения обследования и категорирования ММПЛ определяется:</w:t>
      </w:r>
    </w:p>
    <w:p w:rsid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оложение на местности;</w:t>
      </w:r>
    </w:p>
    <w:p w:rsidR="00EC7F6B" w:rsidRP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занимаемая площадь;</w:t>
      </w:r>
    </w:p>
    <w:p w:rsidR="00EC7F6B" w:rsidRP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конфигурация периметра: общая протяженность и протяж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нность линейных участков (участков прямой видимости);</w:t>
      </w:r>
    </w:p>
    <w:p w:rsidR="00EC7F6B" w:rsidRP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режим работы, наличие </w:t>
      </w:r>
      <w:proofErr w:type="gramStart"/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пропускного</w:t>
      </w:r>
      <w:proofErr w:type="gramEnd"/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режимов и их обеспечение;</w:t>
      </w:r>
    </w:p>
    <w:p w:rsid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потенциально опасных участков и критических элементов;</w:t>
      </w:r>
    </w:p>
    <w:p w:rsidR="00EC7F6B" w:rsidRP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характеристика непосредственно прилегающей местности, наиболее вероятные пути проникновения посторонних лиц;</w:t>
      </w:r>
    </w:p>
    <w:p w:rsidR="00EC7F6B" w:rsidRPr="000D2979" w:rsidRDefault="00EC7F6B" w:rsidP="000D2979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характеристика имеющихся инженерно-технических средств охраны и их состояние (ограждение, видеонаблюдение, оповещение и управление эвакуацией, освещение, охранная сигнализация, пожарная сигнализация и другое).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проведении обследования и категорирования ММПЛ сотрудник территориального органа МВД России обращает особое внимание на:</w:t>
      </w:r>
    </w:p>
    <w:p w:rsidR="00EC7F6B" w:rsidRPr="000D2979" w:rsidRDefault="00EC7F6B" w:rsidP="000D2979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реализацию организационных мероприятий по обеспечению антитеррористической защищенности ММПЛ;</w:t>
      </w:r>
    </w:p>
    <w:p w:rsidR="00EC7F6B" w:rsidRPr="000D2979" w:rsidRDefault="00EC7F6B" w:rsidP="000D2979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инженерно-технической укрепленности ММПЛ предъявляемым Требованиям, е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достаточность для обеспечения надежной охраны;</w:t>
      </w:r>
    </w:p>
    <w:p w:rsidR="00EC7F6B" w:rsidRPr="000D2979" w:rsidRDefault="00EC7F6B" w:rsidP="000D2979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полноту устранения недостатков, ранее выявленных при обследованиях ММПЛ и технических осмотрах инженерно-технических средств охраны, установленных на ММПЛ;</w:t>
      </w:r>
    </w:p>
    <w:p w:rsidR="00EC7F6B" w:rsidRPr="000D2979" w:rsidRDefault="00EC7F6B" w:rsidP="000D2979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принятие правообладателем мер по повышению уровня защищенности ММПЛ пут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м модернизации (замены), уста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новки дополнительных инженерно-</w:t>
      </w: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технических средств и технических средств охраны;</w:t>
      </w:r>
    </w:p>
    <w:p w:rsidR="00EC7F6B" w:rsidRPr="000D2979" w:rsidRDefault="00EC7F6B" w:rsidP="000D2979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работоспособность технических средств охраны, организацию их эксплуатационно-технического обслуживания.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информирования руководства территориального органа МВД России о результатах участия в категорировании ММПЛ с указанием присвоенной категории и выявленных несоответствий (недостатков) в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данного ММПЛ предъявляемым Требованиям представителю территориального органа МВД России следует готовит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соответствующий рапорт.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планирования проведения обследования ММПЛ целесообразно разрабатывать план-график проведения обследований и плановых проверок на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текущий календарный год, который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согласовывается с членами комиссии и утверждается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председателем комиссии.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Правообладателям ММПЛ рекомендуется заблаговременно готовить проект акта обследования с заполнением разделов, относящихся к их компетенции.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Расч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количества людей на территории ММПЛ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определяется эмпирическим пут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 и не требует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методики проведения мониторинга. Подсч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количества людей в течение нескольких дней да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представление о средней ежедневной численности посетителей ММПЛ, который является одной из составляющих при осуществлении категорирования этого ММПЛ. Сведения о максимальной вместимости ММПЛ можно получить, например, из справок о проводимых ранее в ММПЛ мероприятиях.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Мониторинг одновременного пребывания и (или) передвижения людей на территории ММПЛ представляет собой систему наблюдений, осуществляемых комиссией на постоянной основе (не менее 3-х дней) посредством сбора, обобщения, систематизации и оценки информации о наполняемости (количестве людей в определенное время) и пропускной способности указанных мест.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Нормативными правовыми актами методика мониторинга одновременного пребывания, передвижения людей на территории ММПЛ не определена.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Применяя на практике пункт 11 Требований, следует учитывать плановое максимальное количество людей в соответствии с техническими характеристиками ММПЛ, максимальное фактическое количество людей в рабочий, выходной и праздничный день.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Плановое максимальное количество людей определяется исходя из специфики ММПЛ с уч</w:t>
      </w:r>
      <w:r w:rsidR="000D297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том действующих правил и стандартов, например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«СП 42.13330.2011. Свод правил. Градостроительство. Планировка и застройка городских и сельских поселений. Актуализированная редакция СНиП 2.07.01-89*» (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28 декабря 2010 г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820), Правил противопожарного режима в Российской Федерации, утвержд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нных постановлением Правительства Российской Федерации от 25 апреля 2012 г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390.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Так, если принимать площадь, занимаемой одним человеком, равной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0,5 м</w:t>
      </w:r>
      <w:proofErr w:type="gramStart"/>
      <w:r w:rsidR="00B007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территории площадью 50 м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одновременно могут находиться при определенных условиях, например, при проведении культурно-зрелищного мероприятия (без уч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 занимаемой площади под сцену и другие объекты),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100 человек.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Пропускная способность ММПЛ определяется с уч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том его площади,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а также скорости и плотности потока людей. При этом скорость и плотность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потока можно разделить на низкие (до 3 км/час и до 1 чел/м</w:t>
      </w:r>
      <w:proofErr w:type="gramStart"/>
      <w:r w:rsidR="00B007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соответственно), средние (от 3 до 5 км/час и 1 чел/м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соответственно) и высокие (свыше 5 км/час и более 2 чел/м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соответственно).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Таким образом по территории шириной 2 м и длиной 25 м (площадь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50 м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) со средней скоростью (4 км/ч) и при средней плотности (1 чел/м</w:t>
      </w:r>
      <w:r w:rsidRPr="00EC7F6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2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за одну минуту пройдет 132 человека, при этом одновременно будет находиться 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50 человек максимально.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мониторинга одновременного пребывания и (или) передвижения людей на территории ММПЛ могут применяться фотоэлектронные световые барьеры, акустические сенсорные напольные панели, радарные установки, фот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видеокамеры, аэрофотосъемка, турникеты, сч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тчики,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инфографические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сч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тчики и другие технические устройства.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Учитывая, что разработка типовой формы акта обследования и категорирования ММПЛ не предусмотрена Правилами, а форма акта не регламентирована нормативными правовыми актами Российской Федерации, считаем возможным предложить комиссии составлять акт произвольной формы.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рекомендуется включить в него сведения, подтверждающие принятие комиссией решения о присвоении ММПЛ соответствующей категории, а также следующие разделы: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сведения об ММПЛ, его наименование, характеристика территории;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и состояние работы по обеспечению антитеррористической защищенности ММПЛ, меры по предупреждению чрезвычайных ситуаций;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охраны ММПЛ;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пропускного режима;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выводы о состоянии антитеррористической защищенности ММПЛ;</w:t>
      </w:r>
    </w:p>
    <w:p w:rsidR="00EC7F6B" w:rsidRPr="00B0076B" w:rsidRDefault="00EC7F6B" w:rsidP="00B0076B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рекомендации и перечень мер по приведению антитеррористической защищенности ММПЛ в соответствие Требованиям.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отдельных субъектах Российской Федерации форма акта обследования ММПЛ утверждена актами органов исполнительной власти (например, приказом Департамента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социальной защиты населения </w:t>
      </w:r>
      <w:proofErr w:type="spellStart"/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proofErr w:type="gramStart"/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осквы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6 июля 2015 г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568 «Об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мест массового пребывания людей»).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по правильности и полноте составления актов обследования, их утверждению может быть организована через секретаря комиссии.</w:t>
      </w:r>
    </w:p>
    <w:p w:rsid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 утверждения актов по одному экземпляру акта переда</w:t>
      </w:r>
      <w:r w:rsidR="00B0076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тся в территориальные органы безопасности, МВД и МЧС России. Один экземпляр предоставляется правообладателю ММПЛ.</w:t>
      </w:r>
    </w:p>
    <w:p w:rsidR="00B0076B" w:rsidRPr="00EC7F6B" w:rsidRDefault="00B0076B" w:rsidP="00B0076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1C5A1C" w:rsidRDefault="00EC7F6B" w:rsidP="001C5A1C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C5A1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Паспорт безопасности ММПЛ</w:t>
      </w:r>
    </w:p>
    <w:p w:rsidR="001C5A1C" w:rsidRDefault="001C5A1C" w:rsidP="001C5A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Паспорт безопасности ММПЛ является информационно-справочным документом, который составляется комиссией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целях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отражения состояния антитеррористической защищенности ММПЛ и перечня необходимых мероприятий по предупреждению (пресечению) террористических актов в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ММПЛ. При заполнении паспорта безопасности целесообразно использовать имеющийся опыт разработки паспортов безопасности территорий субъектов Российской Федерации и муниципальных образований,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которого установлен приказом МЧС России от 25 октября 2004 г</w:t>
      </w:r>
      <w:r w:rsidR="001C5A1C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484.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 безопасности составляется комиссией после проведения обследования и категорирования ММПЛ в 5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-ти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утвержд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нной Требованиями форме.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присвоении паспорту безопасности соответствующего грифа секретности следует руководствоваться положениями Закона Российской Федерации от 21 июля 1993 г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5485-1 «О государственной тайне».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Конкретный член комиссии, составляющий паспорт безопасности, определяется е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руководител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 уч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том того, что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противодействии терроризму» обязанность по выполнению и обеспечению выполнения требований к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объектов (территорий) возложена на заинтересованные физические и юридические лица, рекомендуется паспорт безопасности составлять правообладателю (собственнику ММПЛ).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Поскольку территориальными органами МВД России являются подразделения (управления, отделы, отделения) органов внутренних дел, сформированные, в том числе, для выполнения задач на конкретных территориях (город, район, иное муниципальное образование), согласование паспортов безопасности ММПЛ должно проводиться с соответствующим территориальным органом МВД России, на территории обслуживания которого расположено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территориальным органам МВД России рекомендуется осуществлять согласование паспорта безопасности с уч</w:t>
      </w:r>
      <w:r w:rsid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информации, содержащейся в рапорте представителя территориального органа МВД России, принимавшего участие в обследовании и категорировании ММПЛ, и в прилагаемом к паспорту безопасности соответствующем акте, в следующих случаях:</w:t>
      </w:r>
    </w:p>
    <w:p w:rsidR="00EC7F6B" w:rsidRPr="00B01087" w:rsidRDefault="00EC7F6B" w:rsidP="00B0108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соответствия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предъявляемым Требованиям;</w:t>
      </w:r>
    </w:p>
    <w:p w:rsidR="00EC7F6B" w:rsidRPr="00B01087" w:rsidRDefault="00EC7F6B" w:rsidP="00B0108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включения в раздел паспорта безопасности ММПЛ, содержащий выводы и рекомендации, перечня мер по приведению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B01087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согласно предъявляемым Требованиям.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 уч</w:t>
      </w:r>
      <w:r w:rsidR="00765D24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сроков, отвед</w:t>
      </w:r>
      <w:r w:rsidR="00765D24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нных на согласование паспорта безопасности ММПЛ после его составления, рекомендуется организовать взаимодействие с правообладателем ММПЛ по его доработке.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 согласования паспорта безопасности руководителями территориальных органов безопасности, МВД и МЧС России все экземпляры паспорта передаются для утверждения руководителем комиссии.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 утверждения по одному экземпляру паспорта безопасности направляются в территориальные органы безопасности, МВД и МЧС России,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правообладателю ММПЛ, один экземпляр остается на хранение в исполнительном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органе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государственной власти субъекта Российской Федерации (администрации муниципального образования).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случаях, если правообладатель не имеет возможности хранения своего экземпляра паспорта безопасности, хранение данного экземпляра осуществляется исполнительным органом государственной власти субъекта Российской Федерации (администрацией муниципального образования).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Хранение экземпляров паспортов безопасности ММПЛ, поступивших в территориальный орган МВД России, организуется с уч</w:t>
      </w:r>
      <w:r w:rsidR="00245B5E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требований нормативных правовых актов, регламентирующих обеспечение режима секретности, а также порядок обращения с документами, имеющими гриф ограниченного доступа. При этом целесообразно предусмотреть возможность оперативного их использования в служебной деятельности.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заполнении 2 раздела паспорта безопасности ММПЛ отражается количество расположенных на территории ММПЛ объектов, их назначение (административное, производственное, складское, др.), толщина стен и материал, из которого они сделаны (бетон, кирпич, дерево, др.), этажность, количество входов (выходов).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сведениях о технической укрепленности и организации охраны объектов отражается их инженерно-техническое оснащение (основное и дополнительное ограждение периметра, ворота, калитки, оборудование, пересекающие ограждение периметра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водопропуски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, воздушные трубопроводы, подземные коллекторы и т.д.), технические средства охранной и тревожной сигнализации (защита периметра территории, защита персонала объекта), силы и средства охраны объектов.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Детальное значение непосредственной близости к ММПЛ Требованиями не определено. При заполнении 3 раздела паспорта безопасности ММПЛ указываются, как правило, объекты, которые непосредственно примыкают к территории ММПЛ, а также объекты, которые влияют на антитеррористическую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нность конкретного ММПЛ в силу своей специфики.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отражении характеристики объекта, расположенного в непосредственной близости к ММПЛ, по видам значимости и опасности, учитываются показатели риска для ММПЛ при совершении террористического акта в отношении объекта. Особую опасность представляют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ядерно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опасные объекты, химически опасные объекты,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пожаро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взрывоопасные объект</w:t>
      </w:r>
      <w:r w:rsidR="00B85027">
        <w:rPr>
          <w:rFonts w:ascii="Times New Roman" w:eastAsia="Arial Unicode MS" w:hAnsi="Times New Roman" w:cs="Times New Roman"/>
          <w:sz w:val="28"/>
          <w:szCs w:val="28"/>
          <w:lang w:eastAsia="ru-RU"/>
        </w:rPr>
        <w:t>ы, биологически опасные объекты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, гидротехнические сооружения, места размещения отходов и другие.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Достаточность мероприятий по защите критических элементов и опасных участков ММПЛ оценивается на основе выводов о выполнении установленных требований к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нности, задач по физической защите и предотвращению террористического акта.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заполнении 4 раздела паспорта безопасности ММПЛ рекомендуется отражать ближайшие к ММПЛ доступные транспортные коммуникации.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Критериями для оценки социально-экономических последствий террористического акта является прогнозируемое количество пострадавших в результате террористического акта, а также прогнозируемый размер экономического ущерба.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Также для оценки масштабов террористических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актов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возможно учитывать классификацию, установленную постановлением Правительства Российской Федерации от 21 мая 2007 г</w:t>
      </w:r>
      <w:r w:rsidR="00B85027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304.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заполнении раздела 7 паспорта безопасности следует отражать участки или элементы, на которых наиболее велик риск совершения террористических актов в силу их особенностей (например, наибольшей уязвимости), а также возникновения обстоятельств, которые представляют собой непосредственную угрозу жизни и безопасности граждан или конституционному строю Российской Федерации.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Выводы о надежности охраны и способности противостоять попыткам совершения террористических актов и иным противоправным действиям (раздел 13 паспорта безопасности) осуществляются на основании полноты выполнения мероприятий, указанных в разделах 10, 11, 12 паспорта безопасности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 безопасности ММПЛ составляется комиссией, в состав которой входят также представители территориального органа безопасности, территориальных органов МЧС России и МВД России, обладающие необходимыми навыками и умениями для оценки социально-экономических последствий террористического акта и достаточности мероприятий по защите критических элементов и опасных участков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Масштаб плана-схемы ММПЛ определяется произвольно, с уч</w:t>
      </w:r>
      <w:r w:rsidR="00B8502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читаемости объектов, обозначенных на плане-схеме.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разработки паспорта не определен, а срок его согласования составляет 30 дней с момента разработки.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Исходя из системного анализа положений Требований, актуализация паспорта безопасности ММПЛ осуществляется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порядке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, установленном для его разработки.</w:t>
      </w:r>
    </w:p>
    <w:p w:rsid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Инициатором актуализации паспорта безопасности является комиссия либо е</w:t>
      </w:r>
      <w:r w:rsidR="00B85027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отдельные члены, в том числе правообладатель ММПЛ.</w:t>
      </w:r>
    </w:p>
    <w:p w:rsidR="00B85027" w:rsidRPr="00EC7F6B" w:rsidRDefault="00B85027" w:rsidP="00B8502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2919" w:rsidRPr="00F82919" w:rsidRDefault="00F82919" w:rsidP="00F82919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5" w:name="bookmark5"/>
      <w:r w:rsidRPr="00F8291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Мероприятия по обеспечению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F8291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антитеррористической защищ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ё</w:t>
      </w:r>
      <w:r w:rsidRPr="00F8291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нности ММПЛ</w:t>
      </w:r>
      <w:bookmarkEnd w:id="5"/>
    </w:p>
    <w:p w:rsidR="00F82919" w:rsidRDefault="00F82919" w:rsidP="00F8291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Требованиях определены необходимые минимальные мероприятия для обеспечения антитеррористической защищ</w:t>
      </w:r>
      <w:r w:rsidR="002C6F7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bookmarkStart w:id="6" w:name="_GoBack"/>
      <w:bookmarkEnd w:id="6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нности ММПЛ. Собственникам или лицам, использующим ММПЛ на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ином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законном основании, не запрещается дополнительно обеспечивать их антитеррористическую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нность без проведения повторного категорирования.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Определение и устранение причин и условий, способствующих совершению в ММПЛ террористических актов, осуществляется, в числе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прочего, в ходе реализации полномочий по подготовке и определению перечня ММПЛ, осуществлению организационных мероприятий по обеспечению их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нности, созданию комиссий, утверждению паспорта безопасности, принятию решения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изменении комплекса мероприятий по обеспечению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в зависимости от складывающейся общественно-политической, социальной и оперативной обстановки.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Причины и условия, способствующие возникновению и распространению терроризма, отражены в Концепции противодействия терроризму в Российской Федерации, утвержд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нной Президентом Российской Федерации 5 октября 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2009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7F6B" w:rsidRPr="00EC7F6B" w:rsidRDefault="00EC7F6B" w:rsidP="00F82919">
      <w:pPr>
        <w:tabs>
          <w:tab w:val="left" w:pos="5512"/>
          <w:tab w:val="left" w:pos="79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организации и проведении работ в части применения современных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информационно-коммуникационных технологий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целесообразно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руководствоваться Концепцией построения и развития аппаратно-программного комплекса «Безопасный город», утвержд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нной распоряжением Правительства Российской Федерации от 3 декабря 2014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2446-р.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 по защите информации осуществляются в соответствии с Федеральным законом от 27 июля 2006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информации», а также Федеральным законом от 27 июля 2006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Оборудования ММПЛ необходимыми инженерно-техническими средствами осуществляется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названными во введении разъяснений стандартами и правилами.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Комплекс осуществляемых мероприятий по обеспечению антитеррористической защищ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зависит от его категории.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Помимо этого Требованиями предусмотрена возможность изменения комплекса мероприятий в зависимости от складывающейся общественно-политической, социальной и оперативной обстановки.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 об этом принимается руководителем исполнительного органа государственной власти субъекта Российской Федерации (главы муниципального образования), на территории которого расположено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этом, независимо от категории, каждое ММПЛ должно быть оборудовано системой видеонаблюдения, системой оповещения и управления эвакуацией, системой освещения.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разделе IV Требований определены общие требования к системам видеонаблюдения, оповещения и связи. Более конкретные требования к указанным системам разрабатываются в техническом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проектирование и проектной документации на объект (место), исходя из целей и задач, необходимых для обеспечения безопасности ММПЛ, а также правил и нормативов.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видеонаблюдения предназначена для визуального контроля обстановки в выделенных зонах, анализа нештатных ситуаций, проверки поступающих сигналов тревоги, оказания помощи в принятии оперативных решений, документирования данных видеонаблюдения.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Систему видеонаблюдения рекомендуется создавать с уч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требований: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51318.22-99 (СИСПР 22-97). Государственный стандарт Российской Федерации. Совместимость техни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ческих средств электромагнитная</w:t>
      </w:r>
      <w:r w:rsidR="00F8291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Радиопомехи индустриальные от оборудования информационных технологий. Нормы и методы испытаний (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 и введ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действие постановлением Госстандарта России от 22 декабря 1999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561-ст);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МЭК 60950-2002. Безопасность оборудования информационных технологий (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введ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н в действие постановлением Госстандарта России от 11 апреля 2002 г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148-ст);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51558-2008 «Средства и системы охранные телевизионные. Классификация. Общие технические требования и методы испытаний»;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78.36.002-2010. Рекомендации. Выбор и применение систем охранных телевизионных;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</w:t>
      </w:r>
      <w:r w:rsidRPr="00F82919">
        <w:rPr>
          <w:rFonts w:ascii="Times New Roman" w:eastAsia="Arial Unicode MS" w:hAnsi="Times New Roman" w:cs="Times New Roman"/>
          <w:sz w:val="28"/>
          <w:szCs w:val="28"/>
          <w:lang w:val="en-US"/>
        </w:rPr>
        <w:t>CISPR</w:t>
      </w:r>
      <w:r w:rsidRPr="00F829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24-2013. Межгосударственный стандарт.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 (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введ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действие Приказом </w:t>
      </w:r>
      <w:proofErr w:type="spell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28 октября 2013 года</w:t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1268-ст);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ГОСТ 30804.3.3-2013. «Совместимость технических средств электромагнитная. Ограничение изменений напряжения, колебаний напряжения и </w:t>
      </w:r>
      <w:proofErr w:type="spell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фликера</w:t>
      </w:r>
      <w:proofErr w:type="spell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низковольтных 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системах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электроснабжения общего назначения. Технические средства с потребляемым током не более 16 А </w:t>
      </w:r>
      <w:r w:rsid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(в одной фазе), подключаемые к электрической сети при несоблюдении определенных условий подключения. Нормы и методы испытаний»;</w:t>
      </w:r>
    </w:p>
    <w:p w:rsidR="00EC7F6B" w:rsidRPr="00F82919" w:rsidRDefault="00EC7F6B" w:rsidP="00F82919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78.36.032-2014. </w:t>
      </w:r>
      <w:proofErr w:type="gramStart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Инженерно-техническая</w:t>
      </w:r>
      <w:proofErr w:type="gramEnd"/>
      <w:r w:rsidRPr="00F82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укрепленность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2. Квартиры и МХИГ. Методические рекомендации.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оповещения в ММПЛ созда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тся с уч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 следующих документов: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 Президента Российской Федерации от 13 ноября 2012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Концепция создания комплексной системы информирования и оповещения населения при угрозе и возникновении чрезвычайных ситуаций (принята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 июня 2013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4);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марта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1993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178 «О создании локальных систем оповещения в районах размещения потенциально опасных объектов»;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приказ МЧС России, </w:t>
      </w:r>
      <w:proofErr w:type="spellStart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Мининформсвязи</w:t>
      </w:r>
      <w:proofErr w:type="spellEnd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России, Минкультуры России № 877/138/597 от 7 декабря 2005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по организации эксплуатационно-технического обслуживания систем оповещения населения» (зарегистрирован в Минюсте России 3 февраля 2006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регистрационный № 7443);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МЧС России, </w:t>
      </w:r>
      <w:proofErr w:type="spellStart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Мининформсвязи</w:t>
      </w:r>
      <w:proofErr w:type="spellEnd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России, Минкультуры России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422/90/376 от 25 июля 2006 года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системах оповещения населения» (зарегистрирован в Минюсте России 12 сентября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2006 года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регистрационный № 8232);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 3.13130.2009. Свод правил. Системы противопожарной защиты. Система оповещения и управления эвакуацией людей при пожаре. Требования </w:t>
      </w:r>
      <w:proofErr w:type="gramStart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пожарной</w:t>
      </w:r>
      <w:proofErr w:type="gramEnd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безопасности (утверждены приказо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 МЧС России от 25 марта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2009 года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173);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 3.13130.2009. Свод правил. Системы противопожарной защиты. Система оповещения и управления эвакуацией людей при пожаре. Требования </w:t>
      </w:r>
      <w:proofErr w:type="gramStart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пожарной</w:t>
      </w:r>
      <w:proofErr w:type="gramEnd"/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безопасности (утверждены приказом МЧС России от 25 марта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2009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173);</w:t>
      </w:r>
    </w:p>
    <w:p w:rsidR="00EC7F6B" w:rsidRPr="007D280B" w:rsidRDefault="00EC7F6B" w:rsidP="007D280B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методические рекомендации по созданию в районах размещения потенциально опасных объектов локальных систем оповещения (утвержде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ны МЧС России 24 декабря 2002 года</w:t>
      </w:r>
      <w:r w:rsidRP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размещения современных технических средств массовой информации в местах массового пребывания людей определ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 совместным приказом МЧС России, МВД России и ФСБ России от 31 мая 2005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№ 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(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Минюсте России 9 июня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2005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регистрационный № 6700).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Сроки и порядок оборудования ММПЛ системами видеонаблюдения, оповещения, освещения и управления эвакуацией определяются комиссией, которая осуществляет контроль за выполнением Требований.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 по физической охране ММПЛ являются вопросами договорных отношений правообладателя ММПЛ и организаций, предоставляющих соответствующие услуги. Расч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количества постов и патрулей для обеспечения безопасности ММПЛ различными организациями, осуществляющими охранную деятельность в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производится индивидуально, исходя из поставленных задач и заключ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нных договоров, с соблюдением принципов необходимости и достаточности.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Физическая защита ММПЛ членами общественных объединений осуществляется на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решений его руководящего органа или общего собрания указанных объединений.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обеспечении правопорядка в ММПЛ в пределах компетенции участвуют также сотрудники органов внутренних дел и военнослужащие внутренних войск МВД России, расч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 численности которых осуществляется в соответствии с требованиями ведомственных нормативных правовых актов.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Места установки информационных стендов (табло), содержащих схему эвакуации при возникновении чрезвычайных ситуаций, телефоны правообладателя соответствующего ММПЛ, аварийно-спасательных служб, правоохранительных органов и органов безопасности определяются комиссией. При этом следует учитывать, что они размещаются, как правило, в местах,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препятствующих передвижению людей, исходя из площади или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периметральной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протяж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ММПЛ, на расстоянии, достаточном для получения экстренной информации.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пунктом 9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нного Указом Президента Российской Федерации от 14 июня 2012 г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851 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определены исчерпывающие дополнительные меры по обеспечению безопасности в соответствии с уровнем террористической опасности.</w:t>
      </w:r>
      <w:proofErr w:type="gramEnd"/>
    </w:p>
    <w:p w:rsid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согласно пункту 12 названного Порядка указанные меры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частью 4 статьи 5 Федерального закона «О противодействии терроризму», в пределах их компетенции, по заранее разработанным ими и довед</w:t>
      </w:r>
      <w:r w:rsidR="007D280B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нным до исполнителей планам.</w:t>
      </w:r>
      <w:proofErr w:type="gramEnd"/>
    </w:p>
    <w:p w:rsidR="007D280B" w:rsidRPr="00EC7F6B" w:rsidRDefault="007D280B" w:rsidP="007D280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B1F3A" w:rsidRPr="00EB1F3A" w:rsidRDefault="00EB1F3A" w:rsidP="00EB1F3A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7" w:name="bookmark6"/>
      <w:r w:rsidRPr="00EB1F3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</w:t>
      </w:r>
      <w:proofErr w:type="gramStart"/>
      <w:r w:rsidRPr="00EB1F3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B1F3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EB1F3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требований к антитеррористической защищ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ё</w:t>
      </w:r>
      <w:r w:rsidRPr="00EB1F3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нности ММПЛ</w:t>
      </w:r>
      <w:bookmarkEnd w:id="7"/>
    </w:p>
    <w:p w:rsidR="00EB1F3A" w:rsidRDefault="00EB1F3A" w:rsidP="00EB1F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пункту 17 части 3.1 статьи 1 Федеральн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 закона от 26 декабря 2008 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его положения, устанавливающие порядок организации и проведения проверок, не применяются при осуществлении контроля за соблюдением требований законодательства об антитеррористической 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объектов.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связи с данным положением, а также исходя из подпункта «б» пункта 7 Правил, порядок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требований к антитеррористической 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ММПЛ, включая должностных лиц, уполномоченных на проведение проверок, а также виды проверок, основания, периодичность и сроки их проведения установлены Требованиями.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Требований осуществляется посредством организации и проведения плановых и внеплановых проверок.</w:t>
      </w:r>
    </w:p>
    <w:p w:rsidR="00EC7F6B" w:rsidRPr="00EC7F6B" w:rsidRDefault="00EB1F3A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проведения проверки – у</w:t>
      </w:r>
      <w:r w:rsidR="00EC7F6B"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становление фактов соблюдения (несоблюдения) правообладателем ММПЛ требований к антитеррористической защищ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="00EC7F6B"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в зависимости от присвоенной категории и подготовка предложений об устранении выявленных недостатков при их наличии.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Документарный контроль заключается в установлении полноты, достоверности и правильности представленной правообладателем ММПЛ информации о состоянии его антитеррористической 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и устранении ранее выявленных недостатков с приложением подтверждающих материалов (например: акт ввода в эксплуатацию технических средств охраны, акт установки инженерных средств защиты и т.д.).</w:t>
      </w:r>
      <w:proofErr w:type="gramEnd"/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выездного обследования предлагается осуществлять проверку выполнения мероприятий по антитеррористической 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и их достаточности, в том числе: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надлежащего проведения организационных мероприятий;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состояния инженерно-технической укрепл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и инфраструктуры ММПЛ;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оборудования системой видеонаблюдения, системой оповещения и управления эвакуацией, системой освещения;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состояния физической охраны, обеспечивающей </w:t>
      </w:r>
      <w:proofErr w:type="spell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пропускной режим;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работоспособности технических средств охраны;</w:t>
      </w:r>
    </w:p>
    <w:p w:rsidR="00EC7F6B" w:rsidRPr="00EC7F6B" w:rsidRDefault="00EC7F6B" w:rsidP="00EB1F3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полноты устранения недостатков, ранее выявленных в системе антитеррористической 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Результаты проверок докладываются руководителю исполнительного органа государственной власти субъекта Российской Федерации (главе муниципального образования), на территории которого расположено ММПЛ, либо лицу, исполняющему его обязанности.</w:t>
      </w:r>
    </w:p>
    <w:p w:rsidR="00EC7F6B" w:rsidRPr="00EC7F6B" w:rsidRDefault="00EC7F6B" w:rsidP="00EC7F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пунктом 26 части 1 статьи 13 Федерального закона 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от 7 февраля 2011 года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-ФЗ «О полиции» сотрудник полиции имеет право выдавать руководителям и должностным лицам организаций </w:t>
      </w:r>
      <w:proofErr w:type="gramStart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предписания</w:t>
      </w:r>
      <w:proofErr w:type="gramEnd"/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соблюдении установленных требований инженерно-технической укрепл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объектов и об обеспечении безопасности граждан.</w:t>
      </w:r>
    </w:p>
    <w:p w:rsidR="00EB1F3A" w:rsidRPr="00EC7F6B" w:rsidRDefault="00EC7F6B" w:rsidP="00EB1F3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Вместе с тем предписания о соблюдении установленных требований инженерно-технической укрепленности объектов и об обеспечении безопасности граждан в ММПЛ не выдаются, поскольку реагирование на выявленные недостатки антитеррористической защищ</w:t>
      </w:r>
      <w:r w:rsidR="00EB1F3A">
        <w:rPr>
          <w:rFonts w:ascii="Times New Roman" w:eastAsia="Arial Unicode MS" w:hAnsi="Times New Roman" w:cs="Times New Roman"/>
          <w:sz w:val="28"/>
          <w:szCs w:val="28"/>
          <w:lang w:eastAsia="ru-RU"/>
        </w:rPr>
        <w:t>ё</w:t>
      </w:r>
      <w:r w:rsidRPr="00EC7F6B">
        <w:rPr>
          <w:rFonts w:ascii="Times New Roman" w:eastAsia="Arial Unicode MS" w:hAnsi="Times New Roman" w:cs="Times New Roman"/>
          <w:sz w:val="28"/>
          <w:szCs w:val="28"/>
          <w:lang w:eastAsia="ru-RU"/>
        </w:rPr>
        <w:t>нности ММПЛ осуществляется посредством направления комиссией предложений правообладателю ММПЛ по их совершенствованию.</w:t>
      </w:r>
    </w:p>
    <w:sectPr w:rsidR="00EB1F3A" w:rsidRPr="00EC7F6B" w:rsidSect="007D280B">
      <w:headerReference w:type="default" r:id="rId10"/>
      <w:type w:val="continuous"/>
      <w:pgSz w:w="11905" w:h="16837"/>
      <w:pgMar w:top="1134" w:right="567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CC" w:rsidRDefault="005B3CCC" w:rsidP="00C13C3D">
      <w:pPr>
        <w:spacing w:after="0" w:line="240" w:lineRule="auto"/>
      </w:pPr>
      <w:r>
        <w:separator/>
      </w:r>
    </w:p>
  </w:endnote>
  <w:endnote w:type="continuationSeparator" w:id="0">
    <w:p w:rsidR="005B3CCC" w:rsidRDefault="005B3CCC" w:rsidP="00C1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CC" w:rsidRDefault="005B3CCC" w:rsidP="00C13C3D">
      <w:pPr>
        <w:spacing w:after="0" w:line="240" w:lineRule="auto"/>
      </w:pPr>
      <w:r>
        <w:separator/>
      </w:r>
    </w:p>
  </w:footnote>
  <w:footnote w:type="continuationSeparator" w:id="0">
    <w:p w:rsidR="005B3CCC" w:rsidRDefault="005B3CCC" w:rsidP="00C13C3D">
      <w:pPr>
        <w:spacing w:after="0" w:line="240" w:lineRule="auto"/>
      </w:pPr>
      <w:r>
        <w:continuationSeparator/>
      </w:r>
    </w:p>
  </w:footnote>
  <w:footnote w:id="1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18 марта 2015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252.</w:t>
      </w:r>
    </w:p>
  </w:footnote>
  <w:footnote w:id="2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</w:t>
      </w:r>
      <w:r w:rsidR="00031393">
        <w:rPr>
          <w:rStyle w:val="af2"/>
          <w:sz w:val="20"/>
          <w:szCs w:val="20"/>
        </w:rPr>
        <w:t>ой Федерации от 3 апреля 2015 года</w:t>
      </w:r>
      <w:r w:rsidRPr="00816169">
        <w:rPr>
          <w:rStyle w:val="af2"/>
          <w:sz w:val="20"/>
          <w:szCs w:val="20"/>
        </w:rPr>
        <w:t xml:space="preserve"> № 324.</w:t>
      </w:r>
    </w:p>
  </w:footnote>
  <w:footnote w:id="3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</w:t>
      </w:r>
      <w:r w:rsidR="00031393">
        <w:rPr>
          <w:rStyle w:val="af2"/>
          <w:sz w:val="20"/>
          <w:szCs w:val="20"/>
        </w:rPr>
        <w:t>кой Федерации от 6 марта 2015 года</w:t>
      </w:r>
      <w:r w:rsidRPr="00816169">
        <w:rPr>
          <w:rStyle w:val="af2"/>
          <w:sz w:val="20"/>
          <w:szCs w:val="20"/>
        </w:rPr>
        <w:t xml:space="preserve"> № 202.</w:t>
      </w:r>
    </w:p>
  </w:footnote>
  <w:footnote w:id="4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5 декабря 2014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1328.</w:t>
      </w:r>
    </w:p>
  </w:footnote>
  <w:footnote w:id="5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3 декабря 2014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1309.</w:t>
      </w:r>
    </w:p>
  </w:footnote>
  <w:footnote w:id="6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14 ноября 2014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1193.</w:t>
      </w:r>
    </w:p>
  </w:footnote>
  <w:footnote w:id="7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30 октября 2014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1130.</w:t>
      </w:r>
    </w:p>
  </w:footnote>
  <w:footnote w:id="8">
    <w:p w:rsidR="00A57383" w:rsidRPr="00816169" w:rsidRDefault="00A57383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Российской Федерации от 14 ноября 2014 г</w:t>
      </w:r>
      <w:r w:rsidR="00031393">
        <w:rPr>
          <w:rStyle w:val="af2"/>
          <w:sz w:val="20"/>
          <w:szCs w:val="20"/>
        </w:rPr>
        <w:t>ода</w:t>
      </w:r>
      <w:r w:rsidRPr="00816169">
        <w:rPr>
          <w:rStyle w:val="af2"/>
          <w:sz w:val="20"/>
          <w:szCs w:val="20"/>
        </w:rPr>
        <w:t xml:space="preserve"> № 1193.</w:t>
      </w:r>
    </w:p>
  </w:footnote>
  <w:footnote w:id="9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  <w:t>Постановление Правительства Российской Федерации от 9 августа 2014 г</w:t>
      </w:r>
      <w:r w:rsidR="00031393">
        <w:rPr>
          <w:rStyle w:val="7"/>
          <w:sz w:val="20"/>
          <w:szCs w:val="20"/>
        </w:rPr>
        <w:t>ода</w:t>
      </w:r>
      <w:r w:rsidRPr="00816169">
        <w:rPr>
          <w:rStyle w:val="7"/>
          <w:sz w:val="20"/>
          <w:szCs w:val="20"/>
        </w:rPr>
        <w:t xml:space="preserve"> № 789.</w:t>
      </w:r>
    </w:p>
  </w:footnote>
  <w:footnote w:id="10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  <w:t>Постановление Правительства Российской Федерации от 23 августа 2014 г</w:t>
      </w:r>
      <w:r w:rsidR="00031393">
        <w:rPr>
          <w:rStyle w:val="7"/>
          <w:sz w:val="20"/>
          <w:szCs w:val="20"/>
        </w:rPr>
        <w:t>ода</w:t>
      </w:r>
      <w:r w:rsidRPr="00816169">
        <w:rPr>
          <w:rStyle w:val="7"/>
          <w:sz w:val="20"/>
          <w:szCs w:val="20"/>
        </w:rPr>
        <w:t xml:space="preserve"> № 853.</w:t>
      </w:r>
    </w:p>
  </w:footnote>
  <w:footnote w:id="11">
    <w:p w:rsidR="00EC7F6B" w:rsidRPr="00816169" w:rsidRDefault="00816169" w:rsidP="00816169">
      <w:pPr>
        <w:pStyle w:val="13"/>
        <w:shd w:val="clear" w:color="auto" w:fill="auto"/>
        <w:tabs>
          <w:tab w:val="left" w:pos="284"/>
        </w:tabs>
        <w:spacing w:line="240" w:lineRule="auto"/>
        <w:ind w:firstLine="1"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</w:r>
      <w:r w:rsidR="00EC7F6B" w:rsidRPr="00816169">
        <w:rPr>
          <w:rStyle w:val="7"/>
          <w:sz w:val="20"/>
          <w:szCs w:val="20"/>
        </w:rPr>
        <w:t>Постановление Правительства Российской Федерации от 29 августа 2014 г</w:t>
      </w:r>
      <w:r w:rsidR="00692ED7">
        <w:rPr>
          <w:rStyle w:val="7"/>
          <w:sz w:val="20"/>
          <w:szCs w:val="20"/>
        </w:rPr>
        <w:t>ода</w:t>
      </w:r>
      <w:r w:rsidR="00EC7F6B" w:rsidRPr="00816169">
        <w:rPr>
          <w:rStyle w:val="7"/>
          <w:sz w:val="20"/>
          <w:szCs w:val="20"/>
        </w:rPr>
        <w:t xml:space="preserve"> № 876.</w:t>
      </w:r>
    </w:p>
  </w:footnote>
  <w:footnote w:id="12">
    <w:p w:rsidR="00A57383" w:rsidRPr="00816169" w:rsidRDefault="00A57383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af2"/>
          <w:sz w:val="20"/>
          <w:szCs w:val="20"/>
          <w:vertAlign w:val="superscript"/>
        </w:rPr>
        <w:footnoteRef/>
      </w:r>
      <w:r w:rsidRPr="00816169">
        <w:rPr>
          <w:rStyle w:val="af2"/>
          <w:sz w:val="20"/>
          <w:szCs w:val="20"/>
        </w:rPr>
        <w:tab/>
        <w:t>Постановление Правительства Российско</w:t>
      </w:r>
      <w:r w:rsidR="00692ED7">
        <w:rPr>
          <w:rStyle w:val="af2"/>
          <w:sz w:val="20"/>
          <w:szCs w:val="20"/>
        </w:rPr>
        <w:t>й Федерации от 14 ноября 2014 года</w:t>
      </w:r>
      <w:r w:rsidRPr="00816169">
        <w:rPr>
          <w:rStyle w:val="af2"/>
          <w:sz w:val="20"/>
          <w:szCs w:val="20"/>
        </w:rPr>
        <w:t xml:space="preserve"> № 1193.</w:t>
      </w:r>
    </w:p>
  </w:footnote>
  <w:footnote w:id="13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  <w:t>Постановление Правительства Российской</w:t>
      </w:r>
      <w:r w:rsidR="00692ED7">
        <w:rPr>
          <w:rStyle w:val="7"/>
          <w:sz w:val="20"/>
          <w:szCs w:val="20"/>
        </w:rPr>
        <w:t xml:space="preserve"> Федерации от 18 декабря 2014 года</w:t>
      </w:r>
      <w:r w:rsidRPr="00816169">
        <w:rPr>
          <w:rStyle w:val="7"/>
          <w:sz w:val="20"/>
          <w:szCs w:val="20"/>
        </w:rPr>
        <w:t xml:space="preserve"> № 1413.</w:t>
      </w:r>
    </w:p>
  </w:footnote>
  <w:footnote w:id="14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contextualSpacing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  <w:t>Постановление Правительства Российс</w:t>
      </w:r>
      <w:r w:rsidR="00692ED7">
        <w:rPr>
          <w:rStyle w:val="7"/>
          <w:sz w:val="20"/>
          <w:szCs w:val="20"/>
        </w:rPr>
        <w:t>кой Федерации от 6 марта 2015 года</w:t>
      </w:r>
      <w:r w:rsidRPr="00816169">
        <w:rPr>
          <w:rStyle w:val="7"/>
          <w:sz w:val="20"/>
          <w:szCs w:val="20"/>
        </w:rPr>
        <w:t xml:space="preserve"> № 203.</w:t>
      </w:r>
    </w:p>
  </w:footnote>
  <w:footnote w:id="15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contextualSpacing/>
        <w:rPr>
          <w:sz w:val="20"/>
          <w:szCs w:val="20"/>
        </w:rPr>
      </w:pPr>
      <w:r w:rsidRPr="00816169">
        <w:rPr>
          <w:rStyle w:val="7"/>
          <w:sz w:val="20"/>
          <w:szCs w:val="20"/>
          <w:vertAlign w:val="superscript"/>
        </w:rPr>
        <w:footnoteRef/>
      </w:r>
      <w:r w:rsidRPr="00816169">
        <w:rPr>
          <w:rStyle w:val="7"/>
          <w:sz w:val="20"/>
          <w:szCs w:val="20"/>
        </w:rPr>
        <w:tab/>
        <w:t>Постановление Правительства Российск</w:t>
      </w:r>
      <w:r w:rsidR="00692ED7">
        <w:rPr>
          <w:rStyle w:val="7"/>
          <w:sz w:val="20"/>
          <w:szCs w:val="20"/>
        </w:rPr>
        <w:t>ой Федерации от 18 марта 2015 года</w:t>
      </w:r>
      <w:r w:rsidRPr="00816169">
        <w:rPr>
          <w:rStyle w:val="7"/>
          <w:sz w:val="20"/>
          <w:szCs w:val="20"/>
        </w:rPr>
        <w:t xml:space="preserve"> № 253.</w:t>
      </w:r>
    </w:p>
  </w:footnote>
  <w:footnote w:id="16">
    <w:p w:rsidR="00EC7F6B" w:rsidRPr="00816169" w:rsidRDefault="00EC7F6B" w:rsidP="00816169">
      <w:pPr>
        <w:pStyle w:val="13"/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sz w:val="20"/>
          <w:szCs w:val="20"/>
        </w:rPr>
      </w:pPr>
      <w:r w:rsidRPr="00816169">
        <w:rPr>
          <w:rStyle w:val="6"/>
          <w:sz w:val="20"/>
          <w:szCs w:val="20"/>
          <w:vertAlign w:val="superscript"/>
        </w:rPr>
        <w:footnoteRef/>
      </w:r>
      <w:r w:rsidR="00816169" w:rsidRPr="00816169">
        <w:rPr>
          <w:rStyle w:val="6"/>
          <w:sz w:val="20"/>
          <w:szCs w:val="20"/>
        </w:rPr>
        <w:tab/>
      </w:r>
      <w:r w:rsidRPr="00816169">
        <w:rPr>
          <w:rStyle w:val="6"/>
          <w:sz w:val="20"/>
          <w:szCs w:val="20"/>
        </w:rPr>
        <w:t>Например, распоряжения Главы Р</w:t>
      </w:r>
      <w:r w:rsidR="00692ED7">
        <w:rPr>
          <w:rStyle w:val="6"/>
          <w:sz w:val="20"/>
          <w:szCs w:val="20"/>
        </w:rPr>
        <w:t>еспублики Коми от 3 июля 2015 года</w:t>
      </w:r>
      <w:r w:rsidRPr="00816169">
        <w:rPr>
          <w:rStyle w:val="6"/>
          <w:sz w:val="20"/>
          <w:szCs w:val="20"/>
        </w:rPr>
        <w:t xml:space="preserve"> № 171-р, Правительства Кировской области от 4 августа 2015 г</w:t>
      </w:r>
      <w:r w:rsidR="00692ED7">
        <w:rPr>
          <w:rStyle w:val="6"/>
          <w:sz w:val="20"/>
          <w:szCs w:val="20"/>
        </w:rPr>
        <w:t>ода</w:t>
      </w:r>
      <w:r w:rsidRPr="00816169">
        <w:rPr>
          <w:rStyle w:val="6"/>
          <w:sz w:val="20"/>
          <w:szCs w:val="20"/>
        </w:rPr>
        <w:t xml:space="preserve"> № 297.</w:t>
      </w:r>
    </w:p>
  </w:footnote>
  <w:footnote w:id="17">
    <w:p w:rsidR="00EC7F6B" w:rsidRPr="00BF6A43" w:rsidRDefault="00EC7F6B" w:rsidP="00BF6A43">
      <w:pPr>
        <w:pStyle w:val="13"/>
        <w:shd w:val="clear" w:color="auto" w:fill="auto"/>
        <w:tabs>
          <w:tab w:val="left" w:pos="284"/>
        </w:tabs>
        <w:spacing w:line="240" w:lineRule="auto"/>
        <w:jc w:val="both"/>
        <w:rPr>
          <w:sz w:val="20"/>
          <w:szCs w:val="20"/>
        </w:rPr>
      </w:pPr>
      <w:r w:rsidRPr="00BF6A43">
        <w:rPr>
          <w:rStyle w:val="5"/>
          <w:sz w:val="20"/>
          <w:szCs w:val="20"/>
          <w:vertAlign w:val="superscript"/>
        </w:rPr>
        <w:footnoteRef/>
      </w:r>
      <w:r w:rsidR="00BF6A43" w:rsidRPr="00BF6A43">
        <w:rPr>
          <w:rStyle w:val="5"/>
          <w:sz w:val="20"/>
          <w:szCs w:val="20"/>
        </w:rPr>
        <w:t xml:space="preserve"> </w:t>
      </w:r>
      <w:r w:rsidR="00BF6A43" w:rsidRPr="00BF6A43">
        <w:rPr>
          <w:rStyle w:val="5"/>
          <w:sz w:val="20"/>
          <w:szCs w:val="20"/>
        </w:rPr>
        <w:tab/>
      </w:r>
      <w:r w:rsidRPr="00BF6A43">
        <w:rPr>
          <w:rStyle w:val="5"/>
          <w:sz w:val="20"/>
          <w:szCs w:val="20"/>
        </w:rPr>
        <w:t xml:space="preserve">Данный критерий, например, закреплен в </w:t>
      </w:r>
      <w:proofErr w:type="gramStart"/>
      <w:r w:rsidRPr="00BF6A43">
        <w:rPr>
          <w:rStyle w:val="5"/>
          <w:sz w:val="20"/>
          <w:szCs w:val="20"/>
        </w:rPr>
        <w:t>пункте</w:t>
      </w:r>
      <w:proofErr w:type="gramEnd"/>
      <w:r w:rsidRPr="00BF6A43">
        <w:rPr>
          <w:rStyle w:val="5"/>
          <w:sz w:val="20"/>
          <w:szCs w:val="20"/>
        </w:rPr>
        <w:t xml:space="preserve"> 8 требований к антитеррористической защищенности объектов спорта, утвержд</w:t>
      </w:r>
      <w:r w:rsidR="00BF6A43">
        <w:rPr>
          <w:rStyle w:val="5"/>
          <w:sz w:val="20"/>
          <w:szCs w:val="20"/>
        </w:rPr>
        <w:t>ё</w:t>
      </w:r>
      <w:r w:rsidRPr="00BF6A43">
        <w:rPr>
          <w:rStyle w:val="5"/>
          <w:sz w:val="20"/>
          <w:szCs w:val="20"/>
        </w:rPr>
        <w:t>нных постановлением Правительства Российской Федерации от 6 марта 2015 г</w:t>
      </w:r>
      <w:r w:rsidR="00BF6A43">
        <w:rPr>
          <w:rStyle w:val="5"/>
          <w:sz w:val="20"/>
          <w:szCs w:val="20"/>
        </w:rPr>
        <w:t>ода</w:t>
      </w:r>
      <w:r w:rsidRPr="00BF6A43">
        <w:rPr>
          <w:rStyle w:val="5"/>
          <w:sz w:val="20"/>
          <w:szCs w:val="20"/>
        </w:rPr>
        <w:t xml:space="preserve"> </w:t>
      </w:r>
      <w:r w:rsidR="00BF6A43">
        <w:rPr>
          <w:rStyle w:val="5"/>
          <w:sz w:val="20"/>
          <w:szCs w:val="20"/>
        </w:rPr>
        <w:br/>
      </w:r>
      <w:r w:rsidRPr="00BF6A43">
        <w:rPr>
          <w:rStyle w:val="5"/>
          <w:sz w:val="20"/>
          <w:szCs w:val="20"/>
        </w:rPr>
        <w:t>№ 202.</w:t>
      </w:r>
    </w:p>
  </w:footnote>
  <w:footnote w:id="18">
    <w:p w:rsidR="00EC7F6B" w:rsidRPr="007D7EEC" w:rsidRDefault="00EC7F6B" w:rsidP="007D7EEC">
      <w:pPr>
        <w:pStyle w:val="13"/>
        <w:shd w:val="clear" w:color="auto" w:fill="auto"/>
        <w:tabs>
          <w:tab w:val="left" w:pos="284"/>
        </w:tabs>
        <w:spacing w:line="221" w:lineRule="exact"/>
        <w:ind w:left="20"/>
        <w:jc w:val="both"/>
        <w:rPr>
          <w:sz w:val="20"/>
          <w:szCs w:val="20"/>
        </w:rPr>
      </w:pPr>
      <w:r w:rsidRPr="007D7EEC">
        <w:rPr>
          <w:rStyle w:val="4"/>
          <w:sz w:val="20"/>
          <w:szCs w:val="20"/>
          <w:vertAlign w:val="superscript"/>
        </w:rPr>
        <w:footnoteRef/>
      </w:r>
      <w:r w:rsidR="007D7EEC" w:rsidRPr="007D7EEC">
        <w:rPr>
          <w:rStyle w:val="4"/>
          <w:sz w:val="20"/>
          <w:szCs w:val="20"/>
        </w:rPr>
        <w:tab/>
      </w:r>
      <w:r w:rsidRPr="007D7EEC">
        <w:rPr>
          <w:rStyle w:val="4"/>
          <w:sz w:val="20"/>
          <w:szCs w:val="20"/>
        </w:rPr>
        <w:t>Например, постановлением Гл</w:t>
      </w:r>
      <w:r w:rsidR="007D7EEC">
        <w:rPr>
          <w:rStyle w:val="4"/>
          <w:sz w:val="20"/>
          <w:szCs w:val="20"/>
        </w:rPr>
        <w:t>авы Администрации города Шадринс</w:t>
      </w:r>
      <w:r w:rsidRPr="007D7EEC">
        <w:rPr>
          <w:rStyle w:val="4"/>
          <w:sz w:val="20"/>
          <w:szCs w:val="20"/>
        </w:rPr>
        <w:t>ка от 23 июля</w:t>
      </w:r>
      <w:r w:rsidRPr="007D7EEC">
        <w:rPr>
          <w:rStyle w:val="2"/>
          <w:sz w:val="20"/>
          <w:szCs w:val="20"/>
        </w:rPr>
        <w:t xml:space="preserve"> </w:t>
      </w:r>
      <w:r w:rsidRPr="007D7EEC">
        <w:rPr>
          <w:rStyle w:val="4"/>
          <w:sz w:val="20"/>
          <w:szCs w:val="20"/>
        </w:rPr>
        <w:t>2015 г</w:t>
      </w:r>
      <w:r w:rsidR="007D7EEC">
        <w:rPr>
          <w:rStyle w:val="4"/>
          <w:sz w:val="20"/>
          <w:szCs w:val="20"/>
        </w:rPr>
        <w:t>ода</w:t>
      </w:r>
      <w:r w:rsidRPr="007D7EEC">
        <w:rPr>
          <w:rStyle w:val="4"/>
          <w:sz w:val="20"/>
          <w:szCs w:val="20"/>
        </w:rPr>
        <w:t xml:space="preserve"> № 66 (Курганская область) утверждено Положение о межведомственной комиссии по обследованию</w:t>
      </w:r>
      <w:r w:rsidRPr="007D7EEC">
        <w:rPr>
          <w:rStyle w:val="2"/>
          <w:sz w:val="20"/>
          <w:szCs w:val="20"/>
        </w:rPr>
        <w:t xml:space="preserve"> </w:t>
      </w:r>
      <w:r w:rsidRPr="007D7EEC">
        <w:rPr>
          <w:rStyle w:val="4"/>
          <w:sz w:val="20"/>
          <w:szCs w:val="20"/>
        </w:rPr>
        <w:t xml:space="preserve">мест массового пребывания людей, расположенных в пределах территории муниципального образования </w:t>
      </w:r>
      <w:r w:rsidR="007D7EEC">
        <w:rPr>
          <w:rStyle w:val="3"/>
          <w:sz w:val="20"/>
          <w:szCs w:val="20"/>
        </w:rPr>
        <w:t>–</w:t>
      </w:r>
      <w:r w:rsidRPr="007D7EEC">
        <w:rPr>
          <w:rStyle w:val="3"/>
          <w:sz w:val="20"/>
          <w:szCs w:val="20"/>
        </w:rPr>
        <w:t xml:space="preserve"> </w:t>
      </w:r>
      <w:r w:rsidRPr="007D7EEC">
        <w:rPr>
          <w:rStyle w:val="4"/>
          <w:sz w:val="20"/>
          <w:szCs w:val="20"/>
        </w:rPr>
        <w:t>город Шадринск.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70" w:rsidRPr="005A6A70" w:rsidRDefault="005A6A70" w:rsidP="005A6A70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5A6A70">
      <w:rPr>
        <w:rFonts w:ascii="Times New Roman" w:hAnsi="Times New Roman" w:cs="Times New Roman"/>
        <w:sz w:val="28"/>
        <w:szCs w:val="28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84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7F6B" w:rsidRDefault="00EC7F6B" w:rsidP="00EC7F6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7F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F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F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F7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C7F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C7F6B" w:rsidRPr="00EC7F6B" w:rsidRDefault="005B3CCC" w:rsidP="00EC7F6B">
        <w:pPr>
          <w:pStyle w:val="aa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FE3818"/>
    <w:multiLevelType w:val="multilevel"/>
    <w:tmpl w:val="7AD6017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4D93B6A"/>
    <w:multiLevelType w:val="hybridMultilevel"/>
    <w:tmpl w:val="3CAACC78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926E6E"/>
    <w:multiLevelType w:val="multilevel"/>
    <w:tmpl w:val="5CB604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69201F"/>
    <w:multiLevelType w:val="hybridMultilevel"/>
    <w:tmpl w:val="ED1C03CC"/>
    <w:lvl w:ilvl="0" w:tplc="F864A5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50203"/>
    <w:multiLevelType w:val="hybridMultilevel"/>
    <w:tmpl w:val="961662EA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8E0548"/>
    <w:multiLevelType w:val="hybridMultilevel"/>
    <w:tmpl w:val="90707F2A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D170FF"/>
    <w:multiLevelType w:val="hybridMultilevel"/>
    <w:tmpl w:val="71A2F7E2"/>
    <w:lvl w:ilvl="0" w:tplc="788C088E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1E665AE"/>
    <w:multiLevelType w:val="hybridMultilevel"/>
    <w:tmpl w:val="49DABAF2"/>
    <w:lvl w:ilvl="0" w:tplc="6BBED2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B3B36"/>
    <w:multiLevelType w:val="multilevel"/>
    <w:tmpl w:val="6CE277F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295B455D"/>
    <w:multiLevelType w:val="multilevel"/>
    <w:tmpl w:val="6958D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2CAD363A"/>
    <w:multiLevelType w:val="hybridMultilevel"/>
    <w:tmpl w:val="0F6296BE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CD6A8F"/>
    <w:multiLevelType w:val="hybridMultilevel"/>
    <w:tmpl w:val="75222E22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8D7DD7"/>
    <w:multiLevelType w:val="hybridMultilevel"/>
    <w:tmpl w:val="FCFA9BC0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33793"/>
    <w:multiLevelType w:val="hybridMultilevel"/>
    <w:tmpl w:val="096AA230"/>
    <w:lvl w:ilvl="0" w:tplc="FBB29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87280"/>
    <w:multiLevelType w:val="hybridMultilevel"/>
    <w:tmpl w:val="E144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1041"/>
    <w:multiLevelType w:val="hybridMultilevel"/>
    <w:tmpl w:val="857418AE"/>
    <w:lvl w:ilvl="0" w:tplc="788C088E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50EC8"/>
    <w:multiLevelType w:val="hybridMultilevel"/>
    <w:tmpl w:val="5E204A12"/>
    <w:lvl w:ilvl="0" w:tplc="F864A5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22272"/>
    <w:multiLevelType w:val="hybridMultilevel"/>
    <w:tmpl w:val="792CEF02"/>
    <w:lvl w:ilvl="0" w:tplc="788C088E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E073618"/>
    <w:multiLevelType w:val="hybridMultilevel"/>
    <w:tmpl w:val="EA6E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782A41"/>
    <w:multiLevelType w:val="hybridMultilevel"/>
    <w:tmpl w:val="C3F2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459A"/>
    <w:multiLevelType w:val="hybridMultilevel"/>
    <w:tmpl w:val="C69E2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77EA1"/>
    <w:multiLevelType w:val="multilevel"/>
    <w:tmpl w:val="96EA3CE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4">
    <w:nsid w:val="50E76F10"/>
    <w:multiLevelType w:val="hybridMultilevel"/>
    <w:tmpl w:val="F92C8FC0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0D7378"/>
    <w:multiLevelType w:val="hybridMultilevel"/>
    <w:tmpl w:val="11DC7CD2"/>
    <w:lvl w:ilvl="0" w:tplc="F864A5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66B043A"/>
    <w:multiLevelType w:val="hybridMultilevel"/>
    <w:tmpl w:val="BA003168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58770A"/>
    <w:multiLevelType w:val="hybridMultilevel"/>
    <w:tmpl w:val="34E8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F65"/>
    <w:multiLevelType w:val="multilevel"/>
    <w:tmpl w:val="5C7EB0B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9">
    <w:nsid w:val="5E9D6838"/>
    <w:multiLevelType w:val="multilevel"/>
    <w:tmpl w:val="110A143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0">
    <w:nsid w:val="5F9F31E2"/>
    <w:multiLevelType w:val="hybridMultilevel"/>
    <w:tmpl w:val="E000E428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87AC2"/>
    <w:multiLevelType w:val="hybridMultilevel"/>
    <w:tmpl w:val="4B5ECEF8"/>
    <w:lvl w:ilvl="0" w:tplc="788C088E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01214C"/>
    <w:multiLevelType w:val="hybridMultilevel"/>
    <w:tmpl w:val="49744D58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934512"/>
    <w:multiLevelType w:val="hybridMultilevel"/>
    <w:tmpl w:val="1BAE36DE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07002"/>
    <w:multiLevelType w:val="hybridMultilevel"/>
    <w:tmpl w:val="9C145972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4340FF"/>
    <w:multiLevelType w:val="hybridMultilevel"/>
    <w:tmpl w:val="5F5CCF64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245AF3"/>
    <w:multiLevelType w:val="hybridMultilevel"/>
    <w:tmpl w:val="B950E25C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DF4EAA"/>
    <w:multiLevelType w:val="hybridMultilevel"/>
    <w:tmpl w:val="14E4CAF8"/>
    <w:lvl w:ilvl="0" w:tplc="DB42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112006"/>
    <w:multiLevelType w:val="hybridMultilevel"/>
    <w:tmpl w:val="5D166B66"/>
    <w:lvl w:ilvl="0" w:tplc="F864A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19"/>
  </w:num>
  <w:num w:numId="5">
    <w:abstractNumId w:val="17"/>
  </w:num>
  <w:num w:numId="6">
    <w:abstractNumId w:val="8"/>
  </w:num>
  <w:num w:numId="7">
    <w:abstractNumId w:val="0"/>
  </w:num>
  <w:num w:numId="8">
    <w:abstractNumId w:val="11"/>
  </w:num>
  <w:num w:numId="9">
    <w:abstractNumId w:val="37"/>
  </w:num>
  <w:num w:numId="10">
    <w:abstractNumId w:val="30"/>
  </w:num>
  <w:num w:numId="11">
    <w:abstractNumId w:val="12"/>
  </w:num>
  <w:num w:numId="12">
    <w:abstractNumId w:val="26"/>
  </w:num>
  <w:num w:numId="13">
    <w:abstractNumId w:val="21"/>
  </w:num>
  <w:num w:numId="14">
    <w:abstractNumId w:val="27"/>
  </w:num>
  <w:num w:numId="15">
    <w:abstractNumId w:val="16"/>
  </w:num>
  <w:num w:numId="16">
    <w:abstractNumId w:val="32"/>
  </w:num>
  <w:num w:numId="17">
    <w:abstractNumId w:val="22"/>
  </w:num>
  <w:num w:numId="18">
    <w:abstractNumId w:val="35"/>
  </w:num>
  <w:num w:numId="19">
    <w:abstractNumId w:val="29"/>
  </w:num>
  <w:num w:numId="20">
    <w:abstractNumId w:val="28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25"/>
  </w:num>
  <w:num w:numId="26">
    <w:abstractNumId w:val="1"/>
  </w:num>
  <w:num w:numId="27">
    <w:abstractNumId w:val="24"/>
  </w:num>
  <w:num w:numId="28">
    <w:abstractNumId w:val="9"/>
  </w:num>
  <w:num w:numId="29">
    <w:abstractNumId w:val="6"/>
  </w:num>
  <w:num w:numId="30">
    <w:abstractNumId w:val="10"/>
  </w:num>
  <w:num w:numId="31">
    <w:abstractNumId w:val="14"/>
  </w:num>
  <w:num w:numId="32">
    <w:abstractNumId w:val="38"/>
  </w:num>
  <w:num w:numId="33">
    <w:abstractNumId w:val="3"/>
  </w:num>
  <w:num w:numId="34">
    <w:abstractNumId w:val="13"/>
  </w:num>
  <w:num w:numId="35">
    <w:abstractNumId w:val="36"/>
  </w:num>
  <w:num w:numId="36">
    <w:abstractNumId w:val="34"/>
  </w:num>
  <w:num w:numId="37">
    <w:abstractNumId w:val="3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6"/>
    <w:rsid w:val="00000F95"/>
    <w:rsid w:val="000121AE"/>
    <w:rsid w:val="000152A5"/>
    <w:rsid w:val="00027F14"/>
    <w:rsid w:val="00031393"/>
    <w:rsid w:val="00032B3D"/>
    <w:rsid w:val="00046852"/>
    <w:rsid w:val="000655DF"/>
    <w:rsid w:val="0006576F"/>
    <w:rsid w:val="00082216"/>
    <w:rsid w:val="000965B3"/>
    <w:rsid w:val="000A0F0F"/>
    <w:rsid w:val="000A6CB5"/>
    <w:rsid w:val="000B0249"/>
    <w:rsid w:val="000B18E2"/>
    <w:rsid w:val="000B42B1"/>
    <w:rsid w:val="000B5F78"/>
    <w:rsid w:val="000C5BD0"/>
    <w:rsid w:val="000D2979"/>
    <w:rsid w:val="000D435F"/>
    <w:rsid w:val="000D729F"/>
    <w:rsid w:val="000E698E"/>
    <w:rsid w:val="0010204A"/>
    <w:rsid w:val="001317A0"/>
    <w:rsid w:val="00131EDC"/>
    <w:rsid w:val="00134000"/>
    <w:rsid w:val="00141D63"/>
    <w:rsid w:val="001427AF"/>
    <w:rsid w:val="00153AFB"/>
    <w:rsid w:val="0015476C"/>
    <w:rsid w:val="00155ACA"/>
    <w:rsid w:val="001704F4"/>
    <w:rsid w:val="0017057D"/>
    <w:rsid w:val="0018031D"/>
    <w:rsid w:val="0018458D"/>
    <w:rsid w:val="00187554"/>
    <w:rsid w:val="00190DAF"/>
    <w:rsid w:val="00193306"/>
    <w:rsid w:val="00193EA2"/>
    <w:rsid w:val="001966A5"/>
    <w:rsid w:val="00197222"/>
    <w:rsid w:val="001A208D"/>
    <w:rsid w:val="001A758D"/>
    <w:rsid w:val="001B0352"/>
    <w:rsid w:val="001B3A6C"/>
    <w:rsid w:val="001B3B32"/>
    <w:rsid w:val="001B4F92"/>
    <w:rsid w:val="001B674C"/>
    <w:rsid w:val="001C0F53"/>
    <w:rsid w:val="001C272D"/>
    <w:rsid w:val="001C5A1C"/>
    <w:rsid w:val="001D7B44"/>
    <w:rsid w:val="001E0E05"/>
    <w:rsid w:val="001E3FA0"/>
    <w:rsid w:val="001E736B"/>
    <w:rsid w:val="001F1DED"/>
    <w:rsid w:val="001F758D"/>
    <w:rsid w:val="00211CDC"/>
    <w:rsid w:val="0021431E"/>
    <w:rsid w:val="00220F7F"/>
    <w:rsid w:val="0022189F"/>
    <w:rsid w:val="00226126"/>
    <w:rsid w:val="00230180"/>
    <w:rsid w:val="0023340B"/>
    <w:rsid w:val="00233BEC"/>
    <w:rsid w:val="00241608"/>
    <w:rsid w:val="0024165F"/>
    <w:rsid w:val="00243DB2"/>
    <w:rsid w:val="00245B5E"/>
    <w:rsid w:val="00253FA3"/>
    <w:rsid w:val="00261D6B"/>
    <w:rsid w:val="00262B6E"/>
    <w:rsid w:val="00263989"/>
    <w:rsid w:val="00267713"/>
    <w:rsid w:val="00270A58"/>
    <w:rsid w:val="00271E5F"/>
    <w:rsid w:val="00277B65"/>
    <w:rsid w:val="00281D69"/>
    <w:rsid w:val="002951CE"/>
    <w:rsid w:val="002A02C6"/>
    <w:rsid w:val="002A5CCA"/>
    <w:rsid w:val="002C0685"/>
    <w:rsid w:val="002C6F7B"/>
    <w:rsid w:val="002D3D9D"/>
    <w:rsid w:val="002E4CB2"/>
    <w:rsid w:val="002E5014"/>
    <w:rsid w:val="002E7CDF"/>
    <w:rsid w:val="002F4ED5"/>
    <w:rsid w:val="00306802"/>
    <w:rsid w:val="00332874"/>
    <w:rsid w:val="00346FBE"/>
    <w:rsid w:val="00395106"/>
    <w:rsid w:val="00396602"/>
    <w:rsid w:val="003A47C3"/>
    <w:rsid w:val="003B0E76"/>
    <w:rsid w:val="003C57DC"/>
    <w:rsid w:val="00401FF7"/>
    <w:rsid w:val="0041140D"/>
    <w:rsid w:val="004114ED"/>
    <w:rsid w:val="0041171E"/>
    <w:rsid w:val="0041396D"/>
    <w:rsid w:val="004166DA"/>
    <w:rsid w:val="0042303E"/>
    <w:rsid w:val="0043512B"/>
    <w:rsid w:val="004418CA"/>
    <w:rsid w:val="00441911"/>
    <w:rsid w:val="00444840"/>
    <w:rsid w:val="0047067B"/>
    <w:rsid w:val="004709C8"/>
    <w:rsid w:val="00480C13"/>
    <w:rsid w:val="00483184"/>
    <w:rsid w:val="00490989"/>
    <w:rsid w:val="004A54A8"/>
    <w:rsid w:val="004C0E31"/>
    <w:rsid w:val="004D5674"/>
    <w:rsid w:val="004D73CB"/>
    <w:rsid w:val="004E2598"/>
    <w:rsid w:val="004E476D"/>
    <w:rsid w:val="00507F89"/>
    <w:rsid w:val="0051421A"/>
    <w:rsid w:val="00517DAE"/>
    <w:rsid w:val="0052216B"/>
    <w:rsid w:val="00524979"/>
    <w:rsid w:val="00526490"/>
    <w:rsid w:val="0054312C"/>
    <w:rsid w:val="00543B98"/>
    <w:rsid w:val="00545876"/>
    <w:rsid w:val="00553AC0"/>
    <w:rsid w:val="005602BA"/>
    <w:rsid w:val="005768FE"/>
    <w:rsid w:val="005828CF"/>
    <w:rsid w:val="00584DFE"/>
    <w:rsid w:val="00594A49"/>
    <w:rsid w:val="005960D1"/>
    <w:rsid w:val="005A04A8"/>
    <w:rsid w:val="005A6A70"/>
    <w:rsid w:val="005B1F94"/>
    <w:rsid w:val="005B3CCC"/>
    <w:rsid w:val="005D116C"/>
    <w:rsid w:val="005D7A86"/>
    <w:rsid w:val="005E10E8"/>
    <w:rsid w:val="005E7BE3"/>
    <w:rsid w:val="00606966"/>
    <w:rsid w:val="00616159"/>
    <w:rsid w:val="00645827"/>
    <w:rsid w:val="006543EB"/>
    <w:rsid w:val="00663BBA"/>
    <w:rsid w:val="00674A2E"/>
    <w:rsid w:val="00675A02"/>
    <w:rsid w:val="00675C15"/>
    <w:rsid w:val="0068568D"/>
    <w:rsid w:val="00692ED7"/>
    <w:rsid w:val="00697090"/>
    <w:rsid w:val="006A38A6"/>
    <w:rsid w:val="006E6E4F"/>
    <w:rsid w:val="006F3F84"/>
    <w:rsid w:val="0070251A"/>
    <w:rsid w:val="00714B77"/>
    <w:rsid w:val="00717147"/>
    <w:rsid w:val="007210C9"/>
    <w:rsid w:val="007324E3"/>
    <w:rsid w:val="007352CD"/>
    <w:rsid w:val="00745932"/>
    <w:rsid w:val="00745A18"/>
    <w:rsid w:val="0075058E"/>
    <w:rsid w:val="00765D24"/>
    <w:rsid w:val="007667A6"/>
    <w:rsid w:val="00785F11"/>
    <w:rsid w:val="00795BF0"/>
    <w:rsid w:val="007A73E6"/>
    <w:rsid w:val="007C01B3"/>
    <w:rsid w:val="007C09B9"/>
    <w:rsid w:val="007C5CFC"/>
    <w:rsid w:val="007D2272"/>
    <w:rsid w:val="007D280B"/>
    <w:rsid w:val="007D5E0F"/>
    <w:rsid w:val="007D7EEC"/>
    <w:rsid w:val="00802F15"/>
    <w:rsid w:val="008052EB"/>
    <w:rsid w:val="00816169"/>
    <w:rsid w:val="00831AE1"/>
    <w:rsid w:val="00833C07"/>
    <w:rsid w:val="00852D01"/>
    <w:rsid w:val="0085763D"/>
    <w:rsid w:val="008654F1"/>
    <w:rsid w:val="00877923"/>
    <w:rsid w:val="008830A4"/>
    <w:rsid w:val="00892B76"/>
    <w:rsid w:val="008C528D"/>
    <w:rsid w:val="008D0396"/>
    <w:rsid w:val="008D1A8B"/>
    <w:rsid w:val="008D3CDB"/>
    <w:rsid w:val="008F0B48"/>
    <w:rsid w:val="00902EAF"/>
    <w:rsid w:val="009307EF"/>
    <w:rsid w:val="009454C5"/>
    <w:rsid w:val="00946368"/>
    <w:rsid w:val="00957BC5"/>
    <w:rsid w:val="00966FF8"/>
    <w:rsid w:val="0097060B"/>
    <w:rsid w:val="00970FED"/>
    <w:rsid w:val="009746BA"/>
    <w:rsid w:val="00974A93"/>
    <w:rsid w:val="009800ED"/>
    <w:rsid w:val="009910CA"/>
    <w:rsid w:val="009976F3"/>
    <w:rsid w:val="009A1D0F"/>
    <w:rsid w:val="009A3454"/>
    <w:rsid w:val="009D21B9"/>
    <w:rsid w:val="009D2614"/>
    <w:rsid w:val="009D37B2"/>
    <w:rsid w:val="009E3035"/>
    <w:rsid w:val="009F64BC"/>
    <w:rsid w:val="009F75A7"/>
    <w:rsid w:val="00A1171B"/>
    <w:rsid w:val="00A11D00"/>
    <w:rsid w:val="00A13A84"/>
    <w:rsid w:val="00A40920"/>
    <w:rsid w:val="00A57383"/>
    <w:rsid w:val="00A823C1"/>
    <w:rsid w:val="00A82DC1"/>
    <w:rsid w:val="00A8426D"/>
    <w:rsid w:val="00A90BC2"/>
    <w:rsid w:val="00A9165E"/>
    <w:rsid w:val="00A92078"/>
    <w:rsid w:val="00A9449E"/>
    <w:rsid w:val="00A94EC0"/>
    <w:rsid w:val="00AA752F"/>
    <w:rsid w:val="00AB01D7"/>
    <w:rsid w:val="00AB212F"/>
    <w:rsid w:val="00AB21DB"/>
    <w:rsid w:val="00AD018F"/>
    <w:rsid w:val="00AD22FA"/>
    <w:rsid w:val="00AE450D"/>
    <w:rsid w:val="00AE71A0"/>
    <w:rsid w:val="00B0076B"/>
    <w:rsid w:val="00B01087"/>
    <w:rsid w:val="00B011C9"/>
    <w:rsid w:val="00B017D6"/>
    <w:rsid w:val="00B11002"/>
    <w:rsid w:val="00B144E9"/>
    <w:rsid w:val="00B21D43"/>
    <w:rsid w:val="00B237E4"/>
    <w:rsid w:val="00B5184C"/>
    <w:rsid w:val="00B51EC0"/>
    <w:rsid w:val="00B6156D"/>
    <w:rsid w:val="00B71B2F"/>
    <w:rsid w:val="00B71F70"/>
    <w:rsid w:val="00B77439"/>
    <w:rsid w:val="00B8015D"/>
    <w:rsid w:val="00B85027"/>
    <w:rsid w:val="00B914BC"/>
    <w:rsid w:val="00B92B1A"/>
    <w:rsid w:val="00BA08A1"/>
    <w:rsid w:val="00BA51D1"/>
    <w:rsid w:val="00BC6E57"/>
    <w:rsid w:val="00BE1165"/>
    <w:rsid w:val="00BF4DE6"/>
    <w:rsid w:val="00BF6A43"/>
    <w:rsid w:val="00C03952"/>
    <w:rsid w:val="00C04674"/>
    <w:rsid w:val="00C06B7D"/>
    <w:rsid w:val="00C13B0E"/>
    <w:rsid w:val="00C13C3D"/>
    <w:rsid w:val="00C159DB"/>
    <w:rsid w:val="00C251F5"/>
    <w:rsid w:val="00C2571B"/>
    <w:rsid w:val="00C34033"/>
    <w:rsid w:val="00C44B12"/>
    <w:rsid w:val="00C4557A"/>
    <w:rsid w:val="00C4571F"/>
    <w:rsid w:val="00C576DF"/>
    <w:rsid w:val="00C81EE8"/>
    <w:rsid w:val="00C9672B"/>
    <w:rsid w:val="00CB4EAD"/>
    <w:rsid w:val="00CB75F2"/>
    <w:rsid w:val="00CC37FF"/>
    <w:rsid w:val="00CC47EE"/>
    <w:rsid w:val="00CD2B58"/>
    <w:rsid w:val="00CD34A3"/>
    <w:rsid w:val="00CE0A7B"/>
    <w:rsid w:val="00CE74F6"/>
    <w:rsid w:val="00D033FB"/>
    <w:rsid w:val="00D05644"/>
    <w:rsid w:val="00D237B8"/>
    <w:rsid w:val="00D31873"/>
    <w:rsid w:val="00D34721"/>
    <w:rsid w:val="00D3593B"/>
    <w:rsid w:val="00D6518F"/>
    <w:rsid w:val="00D961A1"/>
    <w:rsid w:val="00DB0F95"/>
    <w:rsid w:val="00DB33F8"/>
    <w:rsid w:val="00DC04BF"/>
    <w:rsid w:val="00DC109F"/>
    <w:rsid w:val="00DD3B40"/>
    <w:rsid w:val="00DF1E2E"/>
    <w:rsid w:val="00E31218"/>
    <w:rsid w:val="00E315FC"/>
    <w:rsid w:val="00E60F67"/>
    <w:rsid w:val="00EA14E1"/>
    <w:rsid w:val="00EA1E26"/>
    <w:rsid w:val="00EB1F3A"/>
    <w:rsid w:val="00EB28A1"/>
    <w:rsid w:val="00EC103C"/>
    <w:rsid w:val="00EC7F6B"/>
    <w:rsid w:val="00ED1891"/>
    <w:rsid w:val="00ED79D7"/>
    <w:rsid w:val="00EF1E98"/>
    <w:rsid w:val="00F019F8"/>
    <w:rsid w:val="00F206A8"/>
    <w:rsid w:val="00F20CB4"/>
    <w:rsid w:val="00F24837"/>
    <w:rsid w:val="00F315FD"/>
    <w:rsid w:val="00F522C0"/>
    <w:rsid w:val="00F565BD"/>
    <w:rsid w:val="00F56BCD"/>
    <w:rsid w:val="00F65792"/>
    <w:rsid w:val="00F72F5F"/>
    <w:rsid w:val="00F74A8F"/>
    <w:rsid w:val="00F82919"/>
    <w:rsid w:val="00F831BE"/>
    <w:rsid w:val="00F86ED1"/>
    <w:rsid w:val="00FA5F34"/>
    <w:rsid w:val="00FB3348"/>
    <w:rsid w:val="00FD66E2"/>
    <w:rsid w:val="00FD719A"/>
    <w:rsid w:val="00FE1B08"/>
    <w:rsid w:val="00FE304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C81EE8"/>
  </w:style>
  <w:style w:type="table" w:styleId="a3">
    <w:name w:val="Table Grid"/>
    <w:basedOn w:val="a1"/>
    <w:uiPriority w:val="59"/>
    <w:rsid w:val="00C81EE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E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F315F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315FD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93EA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6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1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C3D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C1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C3D"/>
    <w:rPr>
      <w:rFonts w:asciiTheme="minorHAnsi" w:hAnsiTheme="minorHAnsi"/>
      <w:sz w:val="22"/>
    </w:rPr>
  </w:style>
  <w:style w:type="paragraph" w:customStyle="1" w:styleId="1">
    <w:name w:val="Знак1 Знак Знак Знак Знак Знак Знак"/>
    <w:basedOn w:val="a"/>
    <w:rsid w:val="002143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1 Знак Знак Знак Знак Знак Знак"/>
    <w:basedOn w:val="a"/>
    <w:rsid w:val="005828C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5828CF"/>
    <w:rPr>
      <w:rFonts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5828CF"/>
    <w:pPr>
      <w:shd w:val="clear" w:color="auto" w:fill="FFFFFF"/>
      <w:spacing w:after="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5828CF"/>
    <w:rPr>
      <w:rFonts w:asciiTheme="minorHAnsi" w:hAnsiTheme="minorHAnsi"/>
      <w:sz w:val="22"/>
    </w:rPr>
  </w:style>
  <w:style w:type="paragraph" w:customStyle="1" w:styleId="af0">
    <w:name w:val="Знак Знак"/>
    <w:basedOn w:val="a"/>
    <w:autoRedefine/>
    <w:uiPriority w:val="99"/>
    <w:rsid w:val="00401FF7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Знак1 Знак Знак Знак Знак Знак Знак"/>
    <w:basedOn w:val="a"/>
    <w:rsid w:val="007D5E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1">
    <w:name w:val="Сноска_"/>
    <w:basedOn w:val="a0"/>
    <w:link w:val="13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af2">
    <w:name w:val="Сноска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7">
    <w:name w:val="Сноска7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6">
    <w:name w:val="Сноска6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5">
    <w:name w:val="Сноска5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4">
    <w:name w:val="Сноска4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3">
    <w:name w:val="Сноска3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2">
    <w:name w:val="Сноска2"/>
    <w:basedOn w:val="af1"/>
    <w:uiPriority w:val="99"/>
    <w:rsid w:val="00EC7F6B"/>
    <w:rPr>
      <w:rFonts w:cs="Times New Roman"/>
      <w:noProof/>
      <w:sz w:val="18"/>
      <w:szCs w:val="18"/>
      <w:shd w:val="clear" w:color="auto" w:fill="FFFFFF"/>
    </w:rPr>
  </w:style>
  <w:style w:type="character" w:customStyle="1" w:styleId="af3">
    <w:name w:val="Колонтитул_"/>
    <w:basedOn w:val="a0"/>
    <w:link w:val="af4"/>
    <w:uiPriority w:val="99"/>
    <w:rsid w:val="00EC7F6B"/>
    <w:rPr>
      <w:rFonts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basedOn w:val="af3"/>
    <w:uiPriority w:val="99"/>
    <w:rsid w:val="00EC7F6B"/>
    <w:rPr>
      <w:rFonts w:cs="Times New Roman"/>
      <w:noProof/>
      <w:spacing w:val="0"/>
      <w:sz w:val="21"/>
      <w:szCs w:val="21"/>
      <w:shd w:val="clear" w:color="auto" w:fill="FFFFFF"/>
    </w:rPr>
  </w:style>
  <w:style w:type="paragraph" w:customStyle="1" w:styleId="13">
    <w:name w:val="Сноска1"/>
    <w:basedOn w:val="a"/>
    <w:link w:val="af1"/>
    <w:uiPriority w:val="99"/>
    <w:rsid w:val="00EC7F6B"/>
    <w:pPr>
      <w:shd w:val="clear" w:color="auto" w:fill="FFFFFF"/>
      <w:spacing w:after="0" w:line="451" w:lineRule="exact"/>
    </w:pPr>
    <w:rPr>
      <w:rFonts w:ascii="Times New Roman" w:hAnsi="Times New Roman" w:cs="Times New Roman"/>
      <w:sz w:val="18"/>
      <w:szCs w:val="18"/>
    </w:rPr>
  </w:style>
  <w:style w:type="paragraph" w:customStyle="1" w:styleId="af4">
    <w:name w:val="Колонтитул"/>
    <w:basedOn w:val="a"/>
    <w:link w:val="af3"/>
    <w:uiPriority w:val="99"/>
    <w:rsid w:val="00EC7F6B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C81EE8"/>
  </w:style>
  <w:style w:type="table" w:styleId="a3">
    <w:name w:val="Table Grid"/>
    <w:basedOn w:val="a1"/>
    <w:uiPriority w:val="59"/>
    <w:rsid w:val="00C81EE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E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F315F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315FD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93EA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6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1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C3D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C1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C3D"/>
    <w:rPr>
      <w:rFonts w:asciiTheme="minorHAnsi" w:hAnsiTheme="minorHAnsi"/>
      <w:sz w:val="22"/>
    </w:rPr>
  </w:style>
  <w:style w:type="paragraph" w:customStyle="1" w:styleId="1">
    <w:name w:val="Знак1 Знак Знак Знак Знак Знак Знак"/>
    <w:basedOn w:val="a"/>
    <w:rsid w:val="002143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1 Знак Знак Знак Знак Знак Знак"/>
    <w:basedOn w:val="a"/>
    <w:rsid w:val="005828C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5828CF"/>
    <w:rPr>
      <w:rFonts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5828CF"/>
    <w:pPr>
      <w:shd w:val="clear" w:color="auto" w:fill="FFFFFF"/>
      <w:spacing w:after="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5828CF"/>
    <w:rPr>
      <w:rFonts w:asciiTheme="minorHAnsi" w:hAnsiTheme="minorHAnsi"/>
      <w:sz w:val="22"/>
    </w:rPr>
  </w:style>
  <w:style w:type="paragraph" w:customStyle="1" w:styleId="af0">
    <w:name w:val="Знак Знак"/>
    <w:basedOn w:val="a"/>
    <w:autoRedefine/>
    <w:uiPriority w:val="99"/>
    <w:rsid w:val="00401FF7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Знак1 Знак Знак Знак Знак Знак Знак"/>
    <w:basedOn w:val="a"/>
    <w:rsid w:val="007D5E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1">
    <w:name w:val="Сноска_"/>
    <w:basedOn w:val="a0"/>
    <w:link w:val="13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af2">
    <w:name w:val="Сноска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7">
    <w:name w:val="Сноска7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6">
    <w:name w:val="Сноска6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5">
    <w:name w:val="Сноска5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4">
    <w:name w:val="Сноска4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3">
    <w:name w:val="Сноска3"/>
    <w:basedOn w:val="af1"/>
    <w:uiPriority w:val="99"/>
    <w:rsid w:val="00EC7F6B"/>
    <w:rPr>
      <w:rFonts w:cs="Times New Roman"/>
      <w:sz w:val="18"/>
      <w:szCs w:val="18"/>
      <w:shd w:val="clear" w:color="auto" w:fill="FFFFFF"/>
    </w:rPr>
  </w:style>
  <w:style w:type="character" w:customStyle="1" w:styleId="2">
    <w:name w:val="Сноска2"/>
    <w:basedOn w:val="af1"/>
    <w:uiPriority w:val="99"/>
    <w:rsid w:val="00EC7F6B"/>
    <w:rPr>
      <w:rFonts w:cs="Times New Roman"/>
      <w:noProof/>
      <w:sz w:val="18"/>
      <w:szCs w:val="18"/>
      <w:shd w:val="clear" w:color="auto" w:fill="FFFFFF"/>
    </w:rPr>
  </w:style>
  <w:style w:type="character" w:customStyle="1" w:styleId="af3">
    <w:name w:val="Колонтитул_"/>
    <w:basedOn w:val="a0"/>
    <w:link w:val="af4"/>
    <w:uiPriority w:val="99"/>
    <w:rsid w:val="00EC7F6B"/>
    <w:rPr>
      <w:rFonts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basedOn w:val="af3"/>
    <w:uiPriority w:val="99"/>
    <w:rsid w:val="00EC7F6B"/>
    <w:rPr>
      <w:rFonts w:cs="Times New Roman"/>
      <w:noProof/>
      <w:spacing w:val="0"/>
      <w:sz w:val="21"/>
      <w:szCs w:val="21"/>
      <w:shd w:val="clear" w:color="auto" w:fill="FFFFFF"/>
    </w:rPr>
  </w:style>
  <w:style w:type="paragraph" w:customStyle="1" w:styleId="13">
    <w:name w:val="Сноска1"/>
    <w:basedOn w:val="a"/>
    <w:link w:val="af1"/>
    <w:uiPriority w:val="99"/>
    <w:rsid w:val="00EC7F6B"/>
    <w:pPr>
      <w:shd w:val="clear" w:color="auto" w:fill="FFFFFF"/>
      <w:spacing w:after="0" w:line="451" w:lineRule="exact"/>
    </w:pPr>
    <w:rPr>
      <w:rFonts w:ascii="Times New Roman" w:hAnsi="Times New Roman" w:cs="Times New Roman"/>
      <w:sz w:val="18"/>
      <w:szCs w:val="18"/>
    </w:rPr>
  </w:style>
  <w:style w:type="paragraph" w:customStyle="1" w:styleId="af4">
    <w:name w:val="Колонтитул"/>
    <w:basedOn w:val="a"/>
    <w:link w:val="af3"/>
    <w:uiPriority w:val="99"/>
    <w:rsid w:val="00EC7F6B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0;&#1084;&#1086;&#1074;\&#1073;&#1083;&#1072;&#1085;&#1082;%20&#1087;&#1080;&#1089;&#1100;&#1084;&#1072;%20&#1052;&#1057;&#105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403F-B3B2-48E8-A76A-F5FD3DA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МСОБ</Template>
  <TotalTime>966</TotalTime>
  <Pages>21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</dc:creator>
  <cp:lastModifiedBy>Нагимов Руслан Талгатович</cp:lastModifiedBy>
  <cp:revision>71</cp:revision>
  <cp:lastPrinted>2016-01-13T09:45:00Z</cp:lastPrinted>
  <dcterms:created xsi:type="dcterms:W3CDTF">2015-10-22T06:06:00Z</dcterms:created>
  <dcterms:modified xsi:type="dcterms:W3CDTF">2016-01-14T04:19:00Z</dcterms:modified>
</cp:coreProperties>
</file>